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3D9" w:rsidRDefault="009F3650" w:rsidP="005653D9">
      <w:pPr>
        <w:spacing w:after="0" w:line="240" w:lineRule="auto"/>
        <w:jc w:val="center"/>
        <w:rPr>
          <w:rFonts w:ascii="Calibri" w:eastAsia="Times New Roman" w:hAnsi="Calibri" w:cs="Times New Roman"/>
          <w:b/>
          <w:bCs/>
          <w:color w:val="60497A"/>
          <w:sz w:val="28"/>
          <w:szCs w:val="28"/>
        </w:rPr>
      </w:pPr>
      <w:r>
        <w:rPr>
          <w:noProof/>
        </w:rPr>
        <w:drawing>
          <wp:anchor distT="0" distB="0" distL="114300" distR="114300" simplePos="0" relativeHeight="251659264" behindDoc="0" locked="0" layoutInCell="1" allowOverlap="1" wp14:anchorId="1DF0A659" wp14:editId="342A7122">
            <wp:simplePos x="0" y="0"/>
            <wp:positionH relativeFrom="margin">
              <wp:posOffset>6377940</wp:posOffset>
            </wp:positionH>
            <wp:positionV relativeFrom="topMargin">
              <wp:posOffset>209550</wp:posOffset>
            </wp:positionV>
            <wp:extent cx="2020578" cy="72390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erardosanchezsansores:Dropbox:Clientes:AMC:2015:Compartido Equipo AMC:Identidad Gobierno 2015:00 Popuesta Final:Identidad Final:00 Gobierno:Papeleria:logotipo-DIF.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20578"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EACCA6" wp14:editId="5AB9E37B">
            <wp:simplePos x="0" y="0"/>
            <wp:positionH relativeFrom="margin">
              <wp:posOffset>24935</wp:posOffset>
            </wp:positionH>
            <wp:positionV relativeFrom="paragraph">
              <wp:posOffset>-699770</wp:posOffset>
            </wp:positionV>
            <wp:extent cx="533400" cy="792098"/>
            <wp:effectExtent l="0" t="0" r="0" b="8255"/>
            <wp:wrapNone/>
            <wp:docPr id="2" name="Imagen 2" descr="Macintosh HD:Users:gerardosanchezsansores:Dropbox:Clientes:AMC:2015:Compartido Equipo AMC:Identidad Gobierno 2015:00 Popuesta Final:Identidad Final:00 Gobierno:Papeleria:escudo-RGB-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rardosanchezsansores:Dropbox:Clientes:AMC:2015:Compartido Equipo AMC:Identidad Gobierno 2015:00 Popuesta Final:Identidad Final:00 Gobierno:Papeleria:escudo-RGB-Wor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920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8F6">
        <w:rPr>
          <w:rFonts w:ascii="Calibri" w:eastAsia="Times New Roman" w:hAnsi="Calibri" w:cs="Times New Roman"/>
          <w:b/>
          <w:bCs/>
          <w:color w:val="60497A"/>
          <w:sz w:val="28"/>
          <w:szCs w:val="28"/>
        </w:rPr>
        <w:t>Tabla de A</w:t>
      </w:r>
      <w:r w:rsidR="00926FAD" w:rsidRPr="00E332E7">
        <w:rPr>
          <w:rFonts w:ascii="Calibri" w:eastAsia="Times New Roman" w:hAnsi="Calibri" w:cs="Times New Roman"/>
          <w:b/>
          <w:bCs/>
          <w:color w:val="60497A"/>
          <w:sz w:val="28"/>
          <w:szCs w:val="28"/>
        </w:rPr>
        <w:t>plica</w:t>
      </w:r>
      <w:r w:rsidR="00B538F6">
        <w:rPr>
          <w:rFonts w:ascii="Calibri" w:eastAsia="Times New Roman" w:hAnsi="Calibri" w:cs="Times New Roman"/>
          <w:b/>
          <w:bCs/>
          <w:color w:val="60497A"/>
          <w:sz w:val="28"/>
          <w:szCs w:val="28"/>
        </w:rPr>
        <w:t>bilidad de las Obligaciones de T</w:t>
      </w:r>
      <w:r w:rsidR="00926FAD" w:rsidRPr="00E332E7">
        <w:rPr>
          <w:rFonts w:ascii="Calibri" w:eastAsia="Times New Roman" w:hAnsi="Calibri" w:cs="Times New Roman"/>
          <w:b/>
          <w:bCs/>
          <w:color w:val="60497A"/>
          <w:sz w:val="28"/>
          <w:szCs w:val="28"/>
        </w:rPr>
        <w:t>ransparencia</w:t>
      </w:r>
    </w:p>
    <w:p w:rsidR="00EB76C4" w:rsidRPr="00E332E7" w:rsidRDefault="00B538F6" w:rsidP="005653D9">
      <w:pPr>
        <w:spacing w:after="0" w:line="240" w:lineRule="auto"/>
        <w:jc w:val="center"/>
        <w:rPr>
          <w:rFonts w:ascii="Calibri" w:eastAsia="Times New Roman" w:hAnsi="Calibri" w:cs="Times New Roman"/>
          <w:b/>
          <w:bCs/>
          <w:color w:val="60497A"/>
          <w:sz w:val="28"/>
          <w:szCs w:val="28"/>
        </w:rPr>
      </w:pPr>
      <w:r>
        <w:rPr>
          <w:rFonts w:ascii="Calibri" w:eastAsia="Times New Roman" w:hAnsi="Calibri" w:cs="Times New Roman"/>
          <w:b/>
          <w:bCs/>
          <w:color w:val="60497A"/>
          <w:sz w:val="28"/>
          <w:szCs w:val="28"/>
        </w:rPr>
        <w:t>E</w:t>
      </w:r>
      <w:r w:rsidR="00B12FAC" w:rsidRPr="00E332E7">
        <w:rPr>
          <w:rFonts w:ascii="Calibri" w:eastAsia="Times New Roman" w:hAnsi="Calibri" w:cs="Times New Roman"/>
          <w:b/>
          <w:bCs/>
          <w:color w:val="60497A"/>
          <w:sz w:val="28"/>
          <w:szCs w:val="28"/>
        </w:rPr>
        <w:t>specíficas del Poder Ejecutivo</w:t>
      </w:r>
      <w:r w:rsidR="00290F5E">
        <w:rPr>
          <w:rFonts w:ascii="Calibri" w:eastAsia="Times New Roman" w:hAnsi="Calibri" w:cs="Times New Roman"/>
          <w:b/>
          <w:bCs/>
          <w:color w:val="60497A"/>
          <w:sz w:val="28"/>
          <w:szCs w:val="28"/>
        </w:rPr>
        <w:t xml:space="preserve"> 2017</w:t>
      </w:r>
      <w:bookmarkStart w:id="0" w:name="_GoBack"/>
      <w:bookmarkEnd w:id="0"/>
      <w:r w:rsidR="004B36C8">
        <w:rPr>
          <w:rFonts w:ascii="Calibri" w:eastAsia="Times New Roman" w:hAnsi="Calibri" w:cs="Times New Roman"/>
          <w:b/>
          <w:bCs/>
          <w:color w:val="60497A"/>
          <w:sz w:val="28"/>
          <w:szCs w:val="28"/>
        </w:rPr>
        <w:t xml:space="preserve"> de la Consejería Jurídica</w:t>
      </w:r>
    </w:p>
    <w:p w:rsidR="004B36C8" w:rsidRPr="000D26CA" w:rsidRDefault="00B9463C" w:rsidP="004B36C8">
      <w:pPr>
        <w:spacing w:after="0" w:line="240" w:lineRule="auto"/>
        <w:jc w:val="both"/>
        <w:rPr>
          <w:rFonts w:ascii="Calibri" w:eastAsia="Times New Roman" w:hAnsi="Calibri" w:cs="Times New Roman"/>
          <w:b/>
          <w:bCs/>
          <w:color w:val="60497A"/>
        </w:rPr>
      </w:pPr>
      <w:r>
        <w:rPr>
          <w:rFonts w:ascii="Calibri" w:eastAsia="Times New Roman" w:hAnsi="Calibri" w:cs="Times New Roman"/>
          <w:bCs/>
          <w:i/>
          <w:sz w:val="24"/>
          <w:szCs w:val="24"/>
        </w:rPr>
        <w:t>Con fundamento en el numeral</w:t>
      </w:r>
      <w:r w:rsidR="004B36C8">
        <w:rPr>
          <w:rFonts w:ascii="Calibri" w:eastAsia="Times New Roman" w:hAnsi="Calibri" w:cs="Times New Roman"/>
          <w:bCs/>
          <w:i/>
          <w:sz w:val="24"/>
          <w:szCs w:val="24"/>
        </w:rPr>
        <w:t xml:space="preserve"> Noveno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publicados en el Diario Oficial el día 4 de mayo del 2016</w:t>
      </w:r>
      <w:r w:rsidR="004629AE">
        <w:rPr>
          <w:rFonts w:ascii="Calibri" w:eastAsia="Times New Roman" w:hAnsi="Calibri" w:cs="Times New Roman"/>
          <w:bCs/>
          <w:i/>
          <w:sz w:val="24"/>
          <w:szCs w:val="24"/>
        </w:rPr>
        <w:t>, se elabora</w:t>
      </w:r>
      <w:r w:rsidR="004B36C8">
        <w:rPr>
          <w:rFonts w:ascii="Calibri" w:eastAsia="Times New Roman" w:hAnsi="Calibri" w:cs="Times New Roman"/>
          <w:bCs/>
          <w:i/>
          <w:sz w:val="24"/>
          <w:szCs w:val="24"/>
        </w:rPr>
        <w:t xml:space="preserve"> la siguiente Tabla de Aplicabilidad de la Consejería Jurídica</w:t>
      </w:r>
      <w:r w:rsidR="004629AE">
        <w:rPr>
          <w:rFonts w:ascii="Calibri" w:eastAsia="Times New Roman" w:hAnsi="Calibri" w:cs="Times New Roman"/>
          <w:bCs/>
          <w:i/>
          <w:sz w:val="24"/>
          <w:szCs w:val="24"/>
        </w:rPr>
        <w:t xml:space="preserve"> del Poder Ejecutivo</w:t>
      </w:r>
      <w:r w:rsidR="004B36C8">
        <w:rPr>
          <w:rFonts w:ascii="Calibri" w:eastAsia="Times New Roman" w:hAnsi="Calibri" w:cs="Times New Roman"/>
          <w:bCs/>
          <w:i/>
          <w:sz w:val="24"/>
          <w:szCs w:val="24"/>
        </w:rPr>
        <w:t xml:space="preserve"> cumpliendo con las obligaciones </w:t>
      </w:r>
      <w:r w:rsidR="00FF3716">
        <w:rPr>
          <w:rFonts w:ascii="Calibri" w:eastAsia="Times New Roman" w:hAnsi="Calibri" w:cs="Times New Roman"/>
          <w:bCs/>
          <w:i/>
          <w:sz w:val="24"/>
          <w:szCs w:val="24"/>
        </w:rPr>
        <w:t>específicas que estipula</w:t>
      </w:r>
      <w:r w:rsidR="004B36C8">
        <w:rPr>
          <w:rFonts w:ascii="Calibri" w:eastAsia="Times New Roman" w:hAnsi="Calibri" w:cs="Times New Roman"/>
          <w:bCs/>
          <w:i/>
          <w:sz w:val="24"/>
          <w:szCs w:val="24"/>
        </w:rPr>
        <w:t xml:space="preserve"> el artículo 71 de la Ley General de Transparencia y Acceso a la Información Pública y el artí</w:t>
      </w:r>
      <w:r w:rsidR="003075F9">
        <w:rPr>
          <w:rFonts w:ascii="Calibri" w:eastAsia="Times New Roman" w:hAnsi="Calibri" w:cs="Times New Roman"/>
          <w:bCs/>
          <w:i/>
          <w:sz w:val="24"/>
          <w:szCs w:val="24"/>
        </w:rPr>
        <w:t>culo</w:t>
      </w:r>
      <w:r w:rsidR="004B36C8">
        <w:rPr>
          <w:rFonts w:ascii="Calibri" w:eastAsia="Times New Roman" w:hAnsi="Calibri" w:cs="Times New Roman"/>
          <w:bCs/>
          <w:i/>
          <w:sz w:val="24"/>
          <w:szCs w:val="24"/>
        </w:rPr>
        <w:t xml:space="preserve"> 75 de la Ley de Transparencia y Acceso a la Información Pública del Estado de Campeche</w:t>
      </w:r>
      <w:r w:rsidR="0008539B">
        <w:rPr>
          <w:rFonts w:ascii="Calibri" w:eastAsia="Times New Roman" w:hAnsi="Calibri" w:cs="Times New Roman"/>
          <w:bCs/>
          <w:i/>
          <w:sz w:val="24"/>
          <w:szCs w:val="24"/>
        </w:rPr>
        <w:t xml:space="preserve"> publicada en el Periódico Oficial del Estado el día 4 de mayo de 2016</w:t>
      </w:r>
      <w:r w:rsidR="004B36C8">
        <w:rPr>
          <w:rFonts w:ascii="Calibri" w:eastAsia="Times New Roman" w:hAnsi="Calibri" w:cs="Times New Roman"/>
          <w:bCs/>
          <w:i/>
          <w:sz w:val="24"/>
          <w:szCs w:val="24"/>
        </w:rPr>
        <w:t xml:space="preserve">: </w:t>
      </w:r>
    </w:p>
    <w:p w:rsidR="00554264" w:rsidRPr="00E332E7" w:rsidRDefault="00554264" w:rsidP="00667E9A">
      <w:pPr>
        <w:spacing w:after="0" w:line="240" w:lineRule="auto"/>
        <w:ind w:left="851"/>
        <w:jc w:val="both"/>
        <w:rPr>
          <w:i/>
        </w:rPr>
      </w:pPr>
    </w:p>
    <w:p w:rsidR="00B12FAC" w:rsidRPr="00E332E7" w:rsidRDefault="00B12FAC" w:rsidP="00667E9A">
      <w:pPr>
        <w:spacing w:after="0" w:line="240" w:lineRule="auto"/>
        <w:ind w:left="851"/>
        <w:jc w:val="both"/>
        <w:rPr>
          <w:rFonts w:ascii="Calibri" w:eastAsia="Times New Roman" w:hAnsi="Calibri" w:cs="Times New Roman"/>
          <w:b/>
          <w:bCs/>
          <w:color w:val="60497A"/>
        </w:rPr>
      </w:pPr>
    </w:p>
    <w:tbl>
      <w:tblPr>
        <w:tblW w:w="5000" w:type="pct"/>
        <w:jc w:val="center"/>
        <w:tblLayout w:type="fixed"/>
        <w:tblCellMar>
          <w:left w:w="70" w:type="dxa"/>
          <w:right w:w="70" w:type="dxa"/>
        </w:tblCellMar>
        <w:tblLook w:val="04A0" w:firstRow="1" w:lastRow="0" w:firstColumn="1" w:lastColumn="0" w:noHBand="0" w:noVBand="1"/>
      </w:tblPr>
      <w:tblGrid>
        <w:gridCol w:w="1192"/>
        <w:gridCol w:w="1120"/>
        <w:gridCol w:w="1399"/>
        <w:gridCol w:w="562"/>
        <w:gridCol w:w="3182"/>
        <w:gridCol w:w="2709"/>
        <w:gridCol w:w="2264"/>
      </w:tblGrid>
      <w:tr w:rsidR="00206736" w:rsidRPr="00E332E7" w:rsidTr="0034264C">
        <w:trPr>
          <w:trHeight w:val="765"/>
          <w:tblHeader/>
          <w:jc w:val="center"/>
        </w:trPr>
        <w:tc>
          <w:tcPr>
            <w:tcW w:w="479"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4606E5" w:rsidRDefault="00206736" w:rsidP="00206736">
            <w:pPr>
              <w:spacing w:after="0" w:line="240" w:lineRule="auto"/>
              <w:jc w:val="center"/>
              <w:rPr>
                <w:rFonts w:ascii="Calibri" w:eastAsia="Times New Roman" w:hAnsi="Calibri" w:cs="Times New Roman"/>
                <w:b/>
                <w:bCs/>
                <w:color w:val="FFFFFF"/>
                <w:sz w:val="20"/>
                <w:szCs w:val="20"/>
              </w:rPr>
            </w:pPr>
            <w:r w:rsidRPr="004606E5">
              <w:rPr>
                <w:rFonts w:ascii="Calibri" w:eastAsia="Times New Roman" w:hAnsi="Calibri" w:cs="Times New Roman"/>
                <w:b/>
                <w:bCs/>
                <w:color w:val="FFFFFF"/>
                <w:sz w:val="20"/>
                <w:szCs w:val="20"/>
              </w:rPr>
              <w:t>Orden de gobierno</w:t>
            </w:r>
          </w:p>
        </w:tc>
        <w:tc>
          <w:tcPr>
            <w:tcW w:w="450"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4606E5" w:rsidRDefault="0008539B" w:rsidP="0008539B">
            <w:pPr>
              <w:spacing w:after="0" w:line="240" w:lineRule="auto"/>
              <w:jc w:val="center"/>
              <w:rPr>
                <w:rFonts w:ascii="Calibri" w:eastAsia="Times New Roman" w:hAnsi="Calibri" w:cs="Times New Roman"/>
                <w:b/>
                <w:bCs/>
                <w:color w:val="FFFFFF"/>
                <w:sz w:val="20"/>
                <w:szCs w:val="20"/>
              </w:rPr>
            </w:pPr>
            <w:r w:rsidRPr="004606E5">
              <w:rPr>
                <w:rFonts w:ascii="Calibri" w:eastAsia="Times New Roman" w:hAnsi="Calibri" w:cs="Times New Roman"/>
                <w:b/>
                <w:bCs/>
                <w:color w:val="FFFFFF"/>
                <w:sz w:val="20"/>
                <w:szCs w:val="20"/>
              </w:rPr>
              <w:t>Poder de G</w:t>
            </w:r>
            <w:r w:rsidR="00206736" w:rsidRPr="004606E5">
              <w:rPr>
                <w:rFonts w:ascii="Calibri" w:eastAsia="Times New Roman" w:hAnsi="Calibri" w:cs="Times New Roman"/>
                <w:b/>
                <w:bCs/>
                <w:color w:val="FFFFFF"/>
                <w:sz w:val="20"/>
                <w:szCs w:val="20"/>
              </w:rPr>
              <w:t>obierno al que pertenece</w:t>
            </w:r>
          </w:p>
        </w:tc>
        <w:tc>
          <w:tcPr>
            <w:tcW w:w="563"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34264C" w:rsidRDefault="00206736" w:rsidP="00206736">
            <w:pPr>
              <w:spacing w:after="0" w:line="240" w:lineRule="auto"/>
              <w:jc w:val="center"/>
              <w:rPr>
                <w:rFonts w:ascii="Calibri" w:eastAsia="Times New Roman" w:hAnsi="Calibri" w:cs="Times New Roman"/>
                <w:b/>
                <w:bCs/>
                <w:color w:val="FFFFFF"/>
                <w:sz w:val="20"/>
                <w:szCs w:val="20"/>
              </w:rPr>
            </w:pPr>
            <w:r w:rsidRPr="0034264C">
              <w:rPr>
                <w:rFonts w:ascii="Calibri" w:eastAsia="Times New Roman" w:hAnsi="Calibri" w:cs="Times New Roman"/>
                <w:b/>
                <w:bCs/>
                <w:color w:val="FFFFFF"/>
                <w:sz w:val="20"/>
                <w:szCs w:val="20"/>
              </w:rPr>
              <w:t>Tipo de sujeto obligado</w:t>
            </w:r>
          </w:p>
        </w:tc>
        <w:tc>
          <w:tcPr>
            <w:tcW w:w="3507" w:type="pct"/>
            <w:gridSpan w:val="4"/>
            <w:tcBorders>
              <w:top w:val="dotted" w:sz="4" w:space="0" w:color="auto"/>
              <w:left w:val="nil"/>
              <w:bottom w:val="dotted" w:sz="4" w:space="0" w:color="auto"/>
              <w:right w:val="dotted" w:sz="4" w:space="0" w:color="auto"/>
            </w:tcBorders>
            <w:shd w:val="clear" w:color="000000" w:fill="60497A"/>
            <w:vAlign w:val="center"/>
            <w:hideMark/>
          </w:tcPr>
          <w:p w:rsidR="00206736" w:rsidRPr="0034264C" w:rsidRDefault="00D30F03" w:rsidP="00B12FAC">
            <w:pPr>
              <w:spacing w:after="0" w:line="240" w:lineRule="auto"/>
              <w:jc w:val="center"/>
              <w:rPr>
                <w:rFonts w:ascii="Calibri" w:eastAsia="Times New Roman" w:hAnsi="Calibri" w:cs="Times New Roman"/>
                <w:b/>
                <w:bCs/>
                <w:color w:val="FFFFFF"/>
                <w:sz w:val="20"/>
                <w:szCs w:val="20"/>
              </w:rPr>
            </w:pPr>
            <w:r w:rsidRPr="0034264C">
              <w:rPr>
                <w:rFonts w:ascii="Calibri" w:eastAsia="Times New Roman" w:hAnsi="Calibri" w:cs="Times New Roman"/>
                <w:b/>
                <w:bCs/>
                <w:color w:val="FFFFFF"/>
                <w:sz w:val="20"/>
                <w:szCs w:val="20"/>
              </w:rPr>
              <w:t>Ley General de Transparencia y Acceso a la Información Pública y Ley de Transparencia y Acceso a la Información Pública del Estado de Campeche</w:t>
            </w:r>
          </w:p>
        </w:tc>
      </w:tr>
      <w:tr w:rsidR="004606E5" w:rsidRPr="00E332E7" w:rsidTr="0034264C">
        <w:trPr>
          <w:trHeight w:val="745"/>
          <w:tblHeader/>
          <w:jc w:val="center"/>
        </w:trPr>
        <w:tc>
          <w:tcPr>
            <w:tcW w:w="479" w:type="pct"/>
            <w:vMerge/>
            <w:tcBorders>
              <w:top w:val="dotted" w:sz="4" w:space="0" w:color="auto"/>
              <w:left w:val="dotted" w:sz="4" w:space="0" w:color="auto"/>
              <w:bottom w:val="dotted" w:sz="4" w:space="0" w:color="auto"/>
              <w:right w:val="dotted" w:sz="4" w:space="0" w:color="auto"/>
            </w:tcBorders>
            <w:vAlign w:val="center"/>
            <w:hideMark/>
          </w:tcPr>
          <w:p w:rsidR="004606E5" w:rsidRPr="004606E5" w:rsidRDefault="004606E5" w:rsidP="00B12FAC">
            <w:pPr>
              <w:spacing w:after="0" w:line="240" w:lineRule="auto"/>
              <w:rPr>
                <w:rFonts w:ascii="Calibri" w:eastAsia="Times New Roman" w:hAnsi="Calibri" w:cs="Times New Roman"/>
                <w:b/>
                <w:bCs/>
                <w:color w:val="FFFFFF"/>
                <w:sz w:val="20"/>
                <w:szCs w:val="20"/>
              </w:rPr>
            </w:pPr>
          </w:p>
        </w:tc>
        <w:tc>
          <w:tcPr>
            <w:tcW w:w="450" w:type="pct"/>
            <w:vMerge/>
            <w:tcBorders>
              <w:top w:val="dotted" w:sz="4" w:space="0" w:color="auto"/>
              <w:left w:val="dotted" w:sz="4" w:space="0" w:color="auto"/>
              <w:bottom w:val="dotted" w:sz="4" w:space="0" w:color="auto"/>
              <w:right w:val="dotted" w:sz="4" w:space="0" w:color="auto"/>
            </w:tcBorders>
            <w:vAlign w:val="center"/>
            <w:hideMark/>
          </w:tcPr>
          <w:p w:rsidR="004606E5" w:rsidRPr="004606E5" w:rsidRDefault="004606E5" w:rsidP="00B12FAC">
            <w:pPr>
              <w:spacing w:after="0" w:line="240" w:lineRule="auto"/>
              <w:rPr>
                <w:rFonts w:ascii="Calibri" w:eastAsia="Times New Roman" w:hAnsi="Calibri" w:cs="Times New Roman"/>
                <w:b/>
                <w:bCs/>
                <w:color w:val="FFFFFF"/>
                <w:sz w:val="20"/>
                <w:szCs w:val="20"/>
              </w:rPr>
            </w:pPr>
          </w:p>
        </w:tc>
        <w:tc>
          <w:tcPr>
            <w:tcW w:w="563" w:type="pct"/>
            <w:vMerge/>
            <w:tcBorders>
              <w:top w:val="dotted" w:sz="4" w:space="0" w:color="auto"/>
              <w:left w:val="dotted" w:sz="4" w:space="0" w:color="auto"/>
              <w:bottom w:val="dotted" w:sz="4" w:space="0" w:color="auto"/>
              <w:right w:val="dotted" w:sz="4" w:space="0" w:color="auto"/>
            </w:tcBorders>
            <w:vAlign w:val="center"/>
            <w:hideMark/>
          </w:tcPr>
          <w:p w:rsidR="004606E5" w:rsidRPr="0034264C" w:rsidRDefault="004606E5" w:rsidP="00B12FAC">
            <w:pPr>
              <w:spacing w:after="0" w:line="240" w:lineRule="auto"/>
              <w:rPr>
                <w:rFonts w:ascii="Calibri" w:eastAsia="Times New Roman" w:hAnsi="Calibri" w:cs="Times New Roman"/>
                <w:b/>
                <w:bCs/>
                <w:color w:val="FFFFFF"/>
                <w:sz w:val="20"/>
                <w:szCs w:val="20"/>
              </w:rPr>
            </w:pPr>
          </w:p>
        </w:tc>
        <w:tc>
          <w:tcPr>
            <w:tcW w:w="1506" w:type="pct"/>
            <w:gridSpan w:val="2"/>
            <w:tcBorders>
              <w:top w:val="nil"/>
              <w:left w:val="nil"/>
              <w:bottom w:val="dotted" w:sz="4" w:space="0" w:color="auto"/>
              <w:right w:val="dotted" w:sz="4" w:space="0" w:color="auto"/>
            </w:tcBorders>
            <w:shd w:val="clear" w:color="000000" w:fill="60497A"/>
            <w:vAlign w:val="center"/>
            <w:hideMark/>
          </w:tcPr>
          <w:p w:rsidR="004606E5" w:rsidRPr="0034264C" w:rsidRDefault="004606E5" w:rsidP="00B12FAC">
            <w:pPr>
              <w:spacing w:after="0" w:line="240" w:lineRule="auto"/>
              <w:jc w:val="center"/>
              <w:rPr>
                <w:rFonts w:ascii="Calibri" w:eastAsia="Times New Roman" w:hAnsi="Calibri" w:cs="Times New Roman"/>
                <w:b/>
                <w:bCs/>
                <w:color w:val="FFFFFF"/>
                <w:sz w:val="20"/>
                <w:szCs w:val="20"/>
              </w:rPr>
            </w:pPr>
            <w:r w:rsidRPr="0034264C">
              <w:rPr>
                <w:rFonts w:ascii="Calibri" w:eastAsia="Times New Roman" w:hAnsi="Calibri" w:cs="Times New Roman"/>
                <w:b/>
                <w:bCs/>
                <w:color w:val="FFFFFF"/>
                <w:sz w:val="20"/>
                <w:szCs w:val="20"/>
              </w:rPr>
              <w:t>Fracción</w:t>
            </w:r>
          </w:p>
        </w:tc>
        <w:tc>
          <w:tcPr>
            <w:tcW w:w="1090" w:type="pct"/>
            <w:tcBorders>
              <w:top w:val="nil"/>
              <w:left w:val="nil"/>
              <w:bottom w:val="dotted" w:sz="4" w:space="0" w:color="auto"/>
              <w:right w:val="dotted" w:sz="4" w:space="0" w:color="auto"/>
            </w:tcBorders>
            <w:shd w:val="clear" w:color="000000" w:fill="60497A"/>
            <w:vAlign w:val="center"/>
            <w:hideMark/>
          </w:tcPr>
          <w:p w:rsidR="004606E5" w:rsidRPr="004606E5" w:rsidRDefault="004606E5" w:rsidP="00B12FAC">
            <w:pPr>
              <w:spacing w:after="0" w:line="240" w:lineRule="auto"/>
              <w:jc w:val="center"/>
              <w:rPr>
                <w:rFonts w:ascii="Calibri" w:eastAsia="Times New Roman" w:hAnsi="Calibri" w:cs="Times New Roman"/>
                <w:b/>
                <w:bCs/>
                <w:color w:val="FFFFFF"/>
                <w:sz w:val="20"/>
                <w:szCs w:val="20"/>
              </w:rPr>
            </w:pPr>
            <w:r w:rsidRPr="004606E5">
              <w:rPr>
                <w:rFonts w:ascii="Calibri" w:eastAsia="Times New Roman" w:hAnsi="Calibri" w:cs="Times New Roman"/>
                <w:b/>
                <w:bCs/>
                <w:color w:val="FFFFFF"/>
                <w:sz w:val="20"/>
                <w:szCs w:val="20"/>
              </w:rPr>
              <w:t>Aplicabilidad</w:t>
            </w:r>
          </w:p>
        </w:tc>
        <w:tc>
          <w:tcPr>
            <w:tcW w:w="911" w:type="pct"/>
            <w:tcBorders>
              <w:top w:val="nil"/>
              <w:left w:val="nil"/>
              <w:bottom w:val="dotted" w:sz="4" w:space="0" w:color="auto"/>
              <w:right w:val="dotted" w:sz="4" w:space="0" w:color="auto"/>
            </w:tcBorders>
            <w:shd w:val="clear" w:color="000000" w:fill="60497A"/>
            <w:vAlign w:val="center"/>
            <w:hideMark/>
          </w:tcPr>
          <w:p w:rsidR="004606E5" w:rsidRPr="004606E5" w:rsidRDefault="00433D42" w:rsidP="00B12FAC">
            <w:pP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U</w:t>
            </w:r>
            <w:r w:rsidR="004606E5" w:rsidRPr="004606E5">
              <w:rPr>
                <w:rFonts w:ascii="Calibri" w:eastAsia="Times New Roman" w:hAnsi="Calibri" w:cs="Times New Roman"/>
                <w:b/>
                <w:bCs/>
                <w:color w:val="FFFFFF"/>
                <w:sz w:val="20"/>
                <w:szCs w:val="20"/>
              </w:rPr>
              <w:t>nidad(es) administrativa(s) genera(n) o posee(n) la información</w:t>
            </w:r>
          </w:p>
        </w:tc>
      </w:tr>
      <w:tr w:rsidR="0034264C" w:rsidRPr="00E332E7" w:rsidTr="002273F5">
        <w:trPr>
          <w:trHeight w:val="350"/>
          <w:jc w:val="center"/>
        </w:trPr>
        <w:tc>
          <w:tcPr>
            <w:tcW w:w="479" w:type="pct"/>
            <w:vMerge w:val="restart"/>
            <w:tcBorders>
              <w:top w:val="nil"/>
              <w:left w:val="dotted" w:sz="4" w:space="0" w:color="auto"/>
              <w:bottom w:val="dotted" w:sz="4" w:space="0" w:color="auto"/>
              <w:right w:val="dotted" w:sz="4" w:space="0" w:color="auto"/>
            </w:tcBorders>
            <w:shd w:val="clear" w:color="auto" w:fill="auto"/>
            <w:vAlign w:val="center"/>
            <w:hideMark/>
          </w:tcPr>
          <w:p w:rsidR="00B12FAC" w:rsidRPr="00D00D30" w:rsidRDefault="00501429" w:rsidP="0008539B">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Estatal</w:t>
            </w:r>
            <w:r w:rsidR="000834A9" w:rsidRPr="00D00D30">
              <w:rPr>
                <w:rFonts w:ascii="Calibri" w:eastAsia="Times New Roman" w:hAnsi="Calibri" w:cs="Times New Roman"/>
                <w:sz w:val="20"/>
                <w:szCs w:val="20"/>
              </w:rPr>
              <w:t xml:space="preserve"> </w:t>
            </w:r>
          </w:p>
        </w:tc>
        <w:tc>
          <w:tcPr>
            <w:tcW w:w="450" w:type="pct"/>
            <w:vMerge w:val="restart"/>
            <w:tcBorders>
              <w:top w:val="nil"/>
              <w:left w:val="dotted" w:sz="4" w:space="0" w:color="auto"/>
              <w:bottom w:val="dotted" w:sz="4" w:space="0" w:color="auto"/>
              <w:right w:val="dotted" w:sz="4" w:space="0" w:color="auto"/>
            </w:tcBorders>
            <w:shd w:val="clear" w:color="auto" w:fill="auto"/>
            <w:vAlign w:val="center"/>
            <w:hideMark/>
          </w:tcPr>
          <w:p w:rsidR="00B12FAC" w:rsidRPr="00D00D30" w:rsidRDefault="00B12FAC" w:rsidP="00B12FAC">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Poder Ejecutivo</w:t>
            </w:r>
          </w:p>
        </w:tc>
        <w:tc>
          <w:tcPr>
            <w:tcW w:w="563" w:type="pct"/>
            <w:vMerge w:val="restart"/>
            <w:tcBorders>
              <w:top w:val="nil"/>
              <w:left w:val="dotted" w:sz="4" w:space="0" w:color="auto"/>
              <w:bottom w:val="dotted" w:sz="4" w:space="0" w:color="auto"/>
              <w:right w:val="dotted" w:sz="4" w:space="0" w:color="auto"/>
            </w:tcBorders>
            <w:shd w:val="clear" w:color="auto" w:fill="auto"/>
            <w:vAlign w:val="center"/>
            <w:hideMark/>
          </w:tcPr>
          <w:p w:rsidR="00B12FAC" w:rsidRPr="00D00D30" w:rsidRDefault="00D30F03" w:rsidP="00C20AA0">
            <w:pPr>
              <w:spacing w:after="0" w:line="36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Administración C</w:t>
            </w:r>
            <w:r w:rsidR="004606E5" w:rsidRPr="00D00D30">
              <w:rPr>
                <w:rFonts w:ascii="Calibri" w:eastAsia="Times New Roman" w:hAnsi="Calibri" w:cs="Times New Roman"/>
                <w:sz w:val="20"/>
                <w:szCs w:val="20"/>
              </w:rPr>
              <w:t>en</w:t>
            </w:r>
            <w:r w:rsidRPr="00D00D30">
              <w:rPr>
                <w:rFonts w:ascii="Calibri" w:eastAsia="Times New Roman" w:hAnsi="Calibri" w:cs="Times New Roman"/>
                <w:sz w:val="20"/>
                <w:szCs w:val="20"/>
              </w:rPr>
              <w:t>tralizada</w:t>
            </w: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4606E5">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 xml:space="preserve">I. </w:t>
            </w:r>
          </w:p>
        </w:tc>
        <w:tc>
          <w:tcPr>
            <w:tcW w:w="1280" w:type="pct"/>
            <w:tcBorders>
              <w:top w:val="nil"/>
              <w:left w:val="nil"/>
              <w:bottom w:val="dotted" w:sz="4" w:space="0" w:color="auto"/>
              <w:right w:val="dotted" w:sz="4" w:space="0" w:color="auto"/>
            </w:tcBorders>
            <w:shd w:val="clear" w:color="auto" w:fill="auto"/>
            <w:vAlign w:val="center"/>
            <w:hideMark/>
          </w:tcPr>
          <w:p w:rsidR="00B12FAC" w:rsidRPr="00D00D30" w:rsidRDefault="00D515D1" w:rsidP="00D515D1">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 xml:space="preserve">El Plan Estatal de Desarrollo </w:t>
            </w:r>
          </w:p>
        </w:tc>
        <w:tc>
          <w:tcPr>
            <w:tcW w:w="1090" w:type="pct"/>
            <w:tcBorders>
              <w:top w:val="nil"/>
              <w:left w:val="nil"/>
              <w:bottom w:val="dotted" w:sz="4" w:space="0" w:color="auto"/>
              <w:right w:val="dotted" w:sz="4" w:space="0" w:color="auto"/>
            </w:tcBorders>
            <w:shd w:val="clear" w:color="auto" w:fill="auto"/>
            <w:noWrap/>
            <w:vAlign w:val="center"/>
            <w:hideMark/>
          </w:tcPr>
          <w:p w:rsidR="00B12FAC" w:rsidRPr="00D00D30" w:rsidRDefault="00C14CDD" w:rsidP="00C14CDD">
            <w:pPr>
              <w:spacing w:before="240" w:line="240" w:lineRule="auto"/>
              <w:jc w:val="both"/>
              <w:rPr>
                <w:rFonts w:ascii="Calibri" w:eastAsia="Times New Roman" w:hAnsi="Calibri" w:cs="Times New Roman"/>
                <w:sz w:val="20"/>
                <w:szCs w:val="20"/>
              </w:rPr>
            </w:pPr>
            <w:r w:rsidRPr="006F2F89">
              <w:rPr>
                <w:rFonts w:ascii="Calibri" w:eastAsia="Times New Roman" w:hAnsi="Calibri" w:cs="Times New Roman"/>
                <w:b/>
                <w:bCs/>
                <w:sz w:val="20"/>
                <w:szCs w:val="20"/>
              </w:rPr>
              <w:t>Aplica</w:t>
            </w:r>
            <w:r>
              <w:rPr>
                <w:rFonts w:ascii="Calibri" w:eastAsia="Times New Roman" w:hAnsi="Calibri" w:cs="Times New Roman"/>
                <w:b/>
                <w:bCs/>
                <w:sz w:val="20"/>
                <w:szCs w:val="20"/>
              </w:rPr>
              <w:t xml:space="preserve">, </w:t>
            </w:r>
            <w:r w:rsidRPr="005F567F">
              <w:rPr>
                <w:rFonts w:ascii="Calibri" w:eastAsia="Times New Roman" w:hAnsi="Calibri" w:cs="Times New Roman"/>
                <w:bCs/>
                <w:sz w:val="20"/>
                <w:szCs w:val="20"/>
              </w:rPr>
              <w:t xml:space="preserve">sin </w:t>
            </w:r>
            <w:proofErr w:type="gramStart"/>
            <w:r w:rsidRPr="005F567F">
              <w:rPr>
                <w:rFonts w:ascii="Calibri" w:eastAsia="Times New Roman" w:hAnsi="Calibri" w:cs="Times New Roman"/>
                <w:bCs/>
                <w:sz w:val="20"/>
                <w:szCs w:val="20"/>
              </w:rPr>
              <w:t>embargo</w:t>
            </w:r>
            <w:r w:rsidRPr="003D3C21">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la</w:t>
            </w:r>
            <w:proofErr w:type="gramEnd"/>
            <w:r>
              <w:rPr>
                <w:rFonts w:ascii="Calibri" w:eastAsia="Times New Roman" w:hAnsi="Calibri" w:cs="Times New Roman"/>
                <w:bCs/>
                <w:sz w:val="20"/>
                <w:szCs w:val="20"/>
              </w:rPr>
              <w:t xml:space="preserve"> Cons</w:t>
            </w:r>
            <w:r w:rsidR="00B323AB">
              <w:rPr>
                <w:rFonts w:ascii="Calibri" w:eastAsia="Times New Roman" w:hAnsi="Calibri" w:cs="Times New Roman"/>
                <w:bCs/>
                <w:sz w:val="20"/>
                <w:szCs w:val="20"/>
              </w:rPr>
              <w:t>ejería Jurídica sólo proporciona</w:t>
            </w:r>
            <w:r>
              <w:rPr>
                <w:rFonts w:ascii="Calibri" w:eastAsia="Times New Roman" w:hAnsi="Calibri" w:cs="Times New Roman"/>
                <w:bCs/>
                <w:sz w:val="20"/>
                <w:szCs w:val="20"/>
              </w:rPr>
              <w:t>rá el hipervínculo para el acceso a la información requerida</w:t>
            </w:r>
            <w:r w:rsidR="00B323AB">
              <w:rPr>
                <w:rFonts w:ascii="Calibri" w:eastAsia="Times New Roman" w:hAnsi="Calibri" w:cs="Times New Roman"/>
                <w:bCs/>
                <w:sz w:val="20"/>
                <w:szCs w:val="20"/>
              </w:rPr>
              <w:t xml:space="preserve"> debido a que</w:t>
            </w:r>
            <w:r>
              <w:rPr>
                <w:rFonts w:ascii="Calibri" w:eastAsia="Times New Roman" w:hAnsi="Calibri" w:cs="Times New Roman"/>
                <w:bCs/>
                <w:sz w:val="20"/>
                <w:szCs w:val="20"/>
              </w:rPr>
              <w:t xml:space="preserve">, </w:t>
            </w:r>
            <w:r w:rsidR="00B323AB">
              <w:rPr>
                <w:rFonts w:ascii="Calibri" w:eastAsia="Times New Roman" w:hAnsi="Calibri" w:cs="Times New Roman"/>
                <w:bCs/>
                <w:sz w:val="20"/>
                <w:szCs w:val="20"/>
              </w:rPr>
              <w:t xml:space="preserve">de </w:t>
            </w:r>
            <w:r w:rsidR="002273F5">
              <w:rPr>
                <w:rFonts w:ascii="Calibri" w:eastAsia="Times New Roman" w:hAnsi="Calibri" w:cs="Times New Roman"/>
                <w:bCs/>
                <w:sz w:val="20"/>
                <w:szCs w:val="20"/>
              </w:rPr>
              <w:t>acuerdo</w:t>
            </w:r>
            <w:r w:rsidR="00B323AB">
              <w:rPr>
                <w:rFonts w:ascii="Calibri" w:eastAsia="Times New Roman" w:hAnsi="Calibri" w:cs="Times New Roman"/>
                <w:bCs/>
                <w:sz w:val="20"/>
                <w:szCs w:val="20"/>
              </w:rPr>
              <w:t xml:space="preserve"> con lo dispuesto en</w:t>
            </w:r>
            <w:r>
              <w:rPr>
                <w:rFonts w:ascii="Calibri" w:eastAsia="Times New Roman" w:hAnsi="Calibri" w:cs="Times New Roman"/>
                <w:bCs/>
                <w:sz w:val="20"/>
                <w:szCs w:val="20"/>
              </w:rPr>
              <w:t xml:space="preserve"> el artículo 40 de la Ley Orgánica de la Administración Pública del Estado, no encuadra dentro de las facultad</w:t>
            </w:r>
            <w:r w:rsidR="00B323AB">
              <w:rPr>
                <w:rFonts w:ascii="Calibri" w:eastAsia="Times New Roman" w:hAnsi="Calibri" w:cs="Times New Roman"/>
                <w:bCs/>
                <w:sz w:val="20"/>
                <w:szCs w:val="20"/>
              </w:rPr>
              <w:t xml:space="preserve">es que la ley le confiere a </w:t>
            </w:r>
            <w:r w:rsidR="002273F5">
              <w:rPr>
                <w:rFonts w:ascii="Calibri" w:eastAsia="Times New Roman" w:hAnsi="Calibri" w:cs="Times New Roman"/>
                <w:bCs/>
                <w:sz w:val="20"/>
                <w:szCs w:val="20"/>
              </w:rPr>
              <w:t>esta Consejería</w:t>
            </w:r>
            <w:r>
              <w:rPr>
                <w:rFonts w:ascii="Calibri" w:eastAsia="Times New Roman" w:hAnsi="Calibri" w:cs="Times New Roman"/>
                <w:bCs/>
                <w:sz w:val="20"/>
                <w:szCs w:val="20"/>
              </w:rPr>
              <w:t xml:space="preserve">. </w:t>
            </w:r>
            <w:r w:rsidR="002273F5">
              <w:rPr>
                <w:rFonts w:ascii="Calibri" w:eastAsia="Times New Roman" w:hAnsi="Calibri" w:cs="Times New Roman"/>
                <w:bCs/>
                <w:sz w:val="20"/>
                <w:szCs w:val="20"/>
              </w:rPr>
              <w:t>Dicha</w:t>
            </w:r>
            <w:r>
              <w:rPr>
                <w:rFonts w:ascii="Calibri" w:eastAsia="Times New Roman" w:hAnsi="Calibri" w:cs="Times New Roman"/>
                <w:bCs/>
                <w:sz w:val="20"/>
                <w:szCs w:val="20"/>
              </w:rPr>
              <w:t xml:space="preserve"> obligación le corresponde a la Secretaría de Planeación</w:t>
            </w:r>
            <w:r w:rsidR="002273F5">
              <w:rPr>
                <w:rFonts w:ascii="Calibri" w:eastAsia="Times New Roman" w:hAnsi="Calibri" w:cs="Times New Roman"/>
                <w:bCs/>
                <w:sz w:val="20"/>
                <w:szCs w:val="20"/>
              </w:rPr>
              <w:t>,</w:t>
            </w:r>
            <w:r>
              <w:rPr>
                <w:rFonts w:ascii="Calibri" w:eastAsia="Times New Roman" w:hAnsi="Calibri" w:cs="Times New Roman"/>
                <w:bCs/>
                <w:sz w:val="20"/>
                <w:szCs w:val="20"/>
              </w:rPr>
              <w:t xml:space="preserve"> </w:t>
            </w:r>
            <w:r>
              <w:rPr>
                <w:rFonts w:ascii="Calibri" w:eastAsia="Times New Roman" w:hAnsi="Calibri" w:cs="Times New Roman"/>
                <w:color w:val="000000"/>
                <w:sz w:val="20"/>
                <w:szCs w:val="20"/>
              </w:rPr>
              <w:t>de conformidad con el</w:t>
            </w:r>
            <w:r w:rsidR="00A41D2D" w:rsidRPr="006942C0">
              <w:rPr>
                <w:rFonts w:ascii="Calibri" w:eastAsia="Times New Roman" w:hAnsi="Calibri" w:cs="Times New Roman"/>
                <w:color w:val="000000"/>
                <w:sz w:val="20"/>
                <w:szCs w:val="20"/>
              </w:rPr>
              <w:t xml:space="preserve"> artículo 25 fracción II de la Ley </w:t>
            </w:r>
            <w:r w:rsidR="00A41D2D">
              <w:rPr>
                <w:rFonts w:ascii="Calibri" w:eastAsia="Times New Roman" w:hAnsi="Calibri" w:cs="Times New Roman"/>
                <w:color w:val="000000"/>
                <w:sz w:val="20"/>
                <w:szCs w:val="20"/>
              </w:rPr>
              <w:t xml:space="preserve">Orgánica </w:t>
            </w:r>
            <w:r w:rsidR="00A41D2D">
              <w:rPr>
                <w:rFonts w:ascii="Calibri" w:eastAsia="Times New Roman" w:hAnsi="Calibri" w:cs="Times New Roman"/>
                <w:color w:val="000000"/>
                <w:sz w:val="20"/>
                <w:szCs w:val="20"/>
              </w:rPr>
              <w:lastRenderedPageBreak/>
              <w:t>de la Administración</w:t>
            </w:r>
            <w:r>
              <w:rPr>
                <w:rFonts w:ascii="Calibri" w:eastAsia="Times New Roman" w:hAnsi="Calibri" w:cs="Times New Roman"/>
                <w:color w:val="000000"/>
                <w:sz w:val="20"/>
                <w:szCs w:val="20"/>
              </w:rPr>
              <w:t xml:space="preserve"> Pública del Estado de Campeche.</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6942C0" w:rsidRDefault="007F3840" w:rsidP="002273F5">
            <w:pPr>
              <w:spacing w:line="72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Unidad de Transparencia</w:t>
            </w:r>
          </w:p>
        </w:tc>
      </w:tr>
      <w:tr w:rsidR="0034264C" w:rsidRPr="00E332E7" w:rsidTr="0034264C">
        <w:trPr>
          <w:trHeight w:val="600"/>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20"/>
                <w:szCs w:val="20"/>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II.</w:t>
            </w:r>
          </w:p>
        </w:tc>
        <w:tc>
          <w:tcPr>
            <w:tcW w:w="1280" w:type="pct"/>
            <w:tcBorders>
              <w:top w:val="nil"/>
              <w:left w:val="nil"/>
              <w:bottom w:val="dotted" w:sz="4" w:space="0" w:color="auto"/>
              <w:right w:val="dotted" w:sz="4" w:space="0" w:color="auto"/>
            </w:tcBorders>
            <w:shd w:val="clear" w:color="auto" w:fill="auto"/>
            <w:vAlign w:val="center"/>
            <w:hideMark/>
          </w:tcPr>
          <w:p w:rsidR="00B12FAC" w:rsidRPr="00D00D30" w:rsidRDefault="00B12FAC" w:rsidP="00D515D1">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El presupuesto de egresos y las fórmulas de distribución de los recursos otorgados;</w:t>
            </w:r>
          </w:p>
        </w:tc>
        <w:tc>
          <w:tcPr>
            <w:tcW w:w="1090" w:type="pct"/>
            <w:tcBorders>
              <w:top w:val="nil"/>
              <w:left w:val="nil"/>
              <w:bottom w:val="dotted" w:sz="4" w:space="0" w:color="auto"/>
              <w:right w:val="dotted" w:sz="4" w:space="0" w:color="auto"/>
            </w:tcBorders>
            <w:shd w:val="clear" w:color="auto" w:fill="auto"/>
            <w:noWrap/>
            <w:vAlign w:val="center"/>
            <w:hideMark/>
          </w:tcPr>
          <w:p w:rsidR="00B12FAC" w:rsidRPr="0034264C" w:rsidRDefault="00B371C7" w:rsidP="00466B57">
            <w:pPr>
              <w:spacing w:after="0" w:line="240" w:lineRule="auto"/>
              <w:jc w:val="both"/>
              <w:rPr>
                <w:rFonts w:ascii="Calibri" w:eastAsia="Times New Roman" w:hAnsi="Calibri" w:cs="Times New Roman"/>
                <w:color w:val="2F2F2F"/>
                <w:sz w:val="20"/>
                <w:szCs w:val="20"/>
              </w:rPr>
            </w:pPr>
            <w:r w:rsidRPr="006F2F89">
              <w:rPr>
                <w:rFonts w:ascii="Calibri" w:eastAsia="Times New Roman" w:hAnsi="Calibri" w:cs="Times New Roman"/>
                <w:b/>
                <w:bCs/>
                <w:sz w:val="20"/>
                <w:szCs w:val="20"/>
              </w:rPr>
              <w:t>Aplica</w:t>
            </w:r>
            <w:r>
              <w:rPr>
                <w:rFonts w:ascii="Calibri" w:eastAsia="Times New Roman" w:hAnsi="Calibri" w:cs="Times New Roman"/>
                <w:b/>
                <w:bCs/>
                <w:sz w:val="20"/>
                <w:szCs w:val="20"/>
              </w:rPr>
              <w:t xml:space="preserve">, </w:t>
            </w:r>
            <w:r w:rsidRPr="005F567F">
              <w:rPr>
                <w:rFonts w:ascii="Calibri" w:eastAsia="Times New Roman" w:hAnsi="Calibri" w:cs="Times New Roman"/>
                <w:bCs/>
                <w:sz w:val="20"/>
                <w:szCs w:val="20"/>
              </w:rPr>
              <w:t xml:space="preserve">sin </w:t>
            </w:r>
            <w:proofErr w:type="gramStart"/>
            <w:r w:rsidRPr="005F567F">
              <w:rPr>
                <w:rFonts w:ascii="Calibri" w:eastAsia="Times New Roman" w:hAnsi="Calibri" w:cs="Times New Roman"/>
                <w:bCs/>
                <w:sz w:val="20"/>
                <w:szCs w:val="20"/>
              </w:rPr>
              <w:t>embargo</w:t>
            </w:r>
            <w:r w:rsidRPr="003D3C21">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la</w:t>
            </w:r>
            <w:proofErr w:type="gramEnd"/>
            <w:r>
              <w:rPr>
                <w:rFonts w:ascii="Calibri" w:eastAsia="Times New Roman" w:hAnsi="Calibri" w:cs="Times New Roman"/>
                <w:bCs/>
                <w:sz w:val="20"/>
                <w:szCs w:val="20"/>
              </w:rPr>
              <w:t xml:space="preserve"> Consejería Jurídica sólo proporcionará el hipervínculo para el acceso a la información requerida debido a que, de acuerdo con lo dispuesto en el artículo 40 de la Ley Orgánica de la Administración Pública del Estado, no encuadra dentro de las facultades que la ley le confiere a esta Consejería. Dicha obligación</w:t>
            </w:r>
            <w:r w:rsidR="00246F5C">
              <w:rPr>
                <w:rFonts w:ascii="Calibri" w:eastAsia="Times New Roman" w:hAnsi="Calibri" w:cs="Times New Roman"/>
                <w:bCs/>
                <w:sz w:val="20"/>
                <w:szCs w:val="20"/>
              </w:rPr>
              <w:t>, así como su publicación y actualización,</w:t>
            </w:r>
            <w:r>
              <w:rPr>
                <w:rFonts w:ascii="Calibri" w:eastAsia="Times New Roman" w:hAnsi="Calibri" w:cs="Times New Roman"/>
                <w:bCs/>
                <w:sz w:val="20"/>
                <w:szCs w:val="20"/>
              </w:rPr>
              <w:t xml:space="preserve"> le corresponde a la Secretaría de </w:t>
            </w:r>
            <w:r w:rsidR="00CE1DD8">
              <w:rPr>
                <w:rFonts w:ascii="Calibri" w:eastAsia="Times New Roman" w:hAnsi="Calibri" w:cs="Times New Roman"/>
                <w:color w:val="000000"/>
                <w:sz w:val="20"/>
                <w:szCs w:val="20"/>
              </w:rPr>
              <w:t>Finanzas</w:t>
            </w:r>
            <w:r w:rsidR="00566D98">
              <w:rPr>
                <w:rFonts w:ascii="Calibri" w:eastAsia="Times New Roman" w:hAnsi="Calibri" w:cs="Times New Roman"/>
                <w:color w:val="000000"/>
                <w:sz w:val="20"/>
                <w:szCs w:val="20"/>
              </w:rPr>
              <w:t>,</w:t>
            </w:r>
            <w:r w:rsidR="00CE1DD8" w:rsidRPr="00E3010C">
              <w:rPr>
                <w:rFonts w:ascii="Calibri" w:eastAsia="Times New Roman" w:hAnsi="Calibri" w:cs="Times New Roman"/>
                <w:bCs/>
                <w:sz w:val="20"/>
                <w:szCs w:val="20"/>
              </w:rPr>
              <w:t xml:space="preserve"> de conformidad </w:t>
            </w:r>
            <w:r w:rsidR="00CE1DD8" w:rsidRPr="00E3010C">
              <w:rPr>
                <w:rFonts w:ascii="Calibri" w:eastAsia="Times New Roman" w:hAnsi="Calibri" w:cs="Times New Roman"/>
                <w:color w:val="000000"/>
                <w:sz w:val="20"/>
                <w:szCs w:val="20"/>
              </w:rPr>
              <w:t>con</w:t>
            </w:r>
            <w:r w:rsidR="00CE1DD8">
              <w:rPr>
                <w:rFonts w:ascii="Calibri" w:eastAsia="Times New Roman" w:hAnsi="Calibri" w:cs="Times New Roman"/>
                <w:color w:val="000000"/>
                <w:sz w:val="20"/>
                <w:szCs w:val="20"/>
              </w:rPr>
              <w:t xml:space="preserve"> </w:t>
            </w:r>
            <w:r w:rsidR="006C78BB">
              <w:rPr>
                <w:rFonts w:ascii="Calibri" w:eastAsia="Times New Roman" w:hAnsi="Calibri" w:cs="Times New Roman"/>
                <w:color w:val="000000"/>
                <w:sz w:val="20"/>
                <w:szCs w:val="20"/>
              </w:rPr>
              <w:t>las fracciones XX, XXIV y XXVI d</w:t>
            </w:r>
            <w:r w:rsidR="00CE1DD8">
              <w:rPr>
                <w:rFonts w:ascii="Calibri" w:eastAsia="Times New Roman" w:hAnsi="Calibri" w:cs="Times New Roman"/>
                <w:color w:val="000000"/>
                <w:sz w:val="20"/>
                <w:szCs w:val="20"/>
              </w:rPr>
              <w:t xml:space="preserve">el artículo 22 de la Ley Orgánica de la </w:t>
            </w:r>
            <w:proofErr w:type="gramStart"/>
            <w:r w:rsidR="00CE1DD8">
              <w:rPr>
                <w:rFonts w:ascii="Calibri" w:eastAsia="Times New Roman" w:hAnsi="Calibri" w:cs="Times New Roman"/>
                <w:color w:val="000000"/>
                <w:sz w:val="20"/>
                <w:szCs w:val="20"/>
              </w:rPr>
              <w:t>Administración</w:t>
            </w:r>
            <w:r w:rsidR="00CE1DD8" w:rsidRPr="000D26CA">
              <w:rPr>
                <w:rFonts w:ascii="Calibri" w:eastAsia="Times New Roman" w:hAnsi="Calibri" w:cs="Times New Roman"/>
                <w:color w:val="000000"/>
                <w:sz w:val="20"/>
                <w:szCs w:val="20"/>
              </w:rPr>
              <w:t> </w:t>
            </w:r>
            <w:r w:rsidR="00566D98">
              <w:rPr>
                <w:rFonts w:ascii="Calibri" w:eastAsia="Times New Roman" w:hAnsi="Calibri" w:cs="Times New Roman"/>
                <w:color w:val="000000"/>
                <w:sz w:val="20"/>
                <w:szCs w:val="20"/>
              </w:rPr>
              <w:t xml:space="preserve"> Pública</w:t>
            </w:r>
            <w:proofErr w:type="gramEnd"/>
            <w:r w:rsidR="00566D98">
              <w:rPr>
                <w:rFonts w:ascii="Calibri" w:eastAsia="Times New Roman" w:hAnsi="Calibri" w:cs="Times New Roman"/>
                <w:color w:val="000000"/>
                <w:sz w:val="20"/>
                <w:szCs w:val="20"/>
              </w:rPr>
              <w:t xml:space="preserve"> </w:t>
            </w:r>
            <w:r w:rsidR="00CE1DD8">
              <w:rPr>
                <w:rFonts w:ascii="Calibri" w:eastAsia="Times New Roman" w:hAnsi="Calibri" w:cs="Times New Roman"/>
                <w:color w:val="000000"/>
                <w:sz w:val="20"/>
                <w:szCs w:val="20"/>
              </w:rPr>
              <w:t xml:space="preserve">del Estado de Campeche. </w:t>
            </w:r>
            <w:r w:rsidR="00CE1DD8">
              <w:rPr>
                <w:rFonts w:ascii="Calibri" w:eastAsia="Times New Roman" w:hAnsi="Calibri" w:cs="Times New Roman"/>
                <w:bCs/>
                <w:sz w:val="20"/>
                <w:szCs w:val="20"/>
              </w:rPr>
              <w:t xml:space="preserve"> </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E332E7" w:rsidRDefault="00CE1DD8" w:rsidP="00090508">
            <w:pPr>
              <w:spacing w:line="720" w:lineRule="auto"/>
              <w:jc w:val="center"/>
              <w:rPr>
                <w:rFonts w:ascii="Calibri" w:eastAsia="Times New Roman" w:hAnsi="Calibri" w:cs="Times New Roman"/>
                <w:color w:val="000000"/>
                <w:sz w:val="16"/>
              </w:rPr>
            </w:pPr>
            <w:r>
              <w:rPr>
                <w:rFonts w:ascii="Calibri" w:eastAsia="Times New Roman" w:hAnsi="Calibri" w:cs="Times New Roman"/>
                <w:color w:val="000000"/>
                <w:sz w:val="20"/>
                <w:szCs w:val="20"/>
              </w:rPr>
              <w:t>Unidad de Transparencia</w:t>
            </w:r>
          </w:p>
        </w:tc>
      </w:tr>
      <w:tr w:rsidR="0034264C" w:rsidRPr="00E332E7" w:rsidTr="00C2294A">
        <w:trPr>
          <w:trHeight w:val="3137"/>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20"/>
                <w:szCs w:val="20"/>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III</w:t>
            </w:r>
          </w:p>
        </w:tc>
        <w:tc>
          <w:tcPr>
            <w:tcW w:w="1280" w:type="pct"/>
            <w:tcBorders>
              <w:top w:val="nil"/>
              <w:left w:val="nil"/>
              <w:bottom w:val="dotted" w:sz="4" w:space="0" w:color="auto"/>
              <w:right w:val="dotted" w:sz="4" w:space="0" w:color="auto"/>
            </w:tcBorders>
            <w:shd w:val="clear" w:color="auto" w:fill="auto"/>
            <w:vAlign w:val="center"/>
            <w:hideMark/>
          </w:tcPr>
          <w:p w:rsidR="00B12FAC" w:rsidRPr="00D00D30" w:rsidRDefault="00B12FAC" w:rsidP="00D515D1">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El listado de expropiaciones decretadas y ejecutadas que incluya, cuando menos, la fecha de expropiación, el domicilio y la causa de utilidad pública y las ocupaciones superficiales;</w:t>
            </w:r>
          </w:p>
        </w:tc>
        <w:tc>
          <w:tcPr>
            <w:tcW w:w="1090" w:type="pct"/>
            <w:tcBorders>
              <w:top w:val="nil"/>
              <w:left w:val="nil"/>
              <w:bottom w:val="dotted" w:sz="4" w:space="0" w:color="auto"/>
              <w:right w:val="dotted" w:sz="4" w:space="0" w:color="auto"/>
            </w:tcBorders>
            <w:shd w:val="clear" w:color="auto" w:fill="auto"/>
            <w:noWrap/>
            <w:vAlign w:val="center"/>
            <w:hideMark/>
          </w:tcPr>
          <w:p w:rsidR="00090508" w:rsidRPr="00EA7F24" w:rsidRDefault="00D00D30" w:rsidP="00D00D30">
            <w:pPr>
              <w:spacing w:after="0" w:line="240" w:lineRule="auto"/>
              <w:jc w:val="both"/>
              <w:rPr>
                <w:rFonts w:ascii="Calibri" w:eastAsia="Times New Roman" w:hAnsi="Calibri" w:cs="Times New Roman"/>
                <w:sz w:val="16"/>
              </w:rPr>
            </w:pPr>
            <w:r w:rsidRPr="00EA7F24">
              <w:rPr>
                <w:rFonts w:ascii="Calibri" w:eastAsia="Times New Roman" w:hAnsi="Calibri" w:cs="Times New Roman"/>
                <w:b/>
                <w:bCs/>
                <w:sz w:val="20"/>
                <w:szCs w:val="20"/>
              </w:rPr>
              <w:t xml:space="preserve">No </w:t>
            </w:r>
            <w:proofErr w:type="gramStart"/>
            <w:r w:rsidRPr="00EA7F24">
              <w:rPr>
                <w:rFonts w:ascii="Calibri" w:eastAsia="Times New Roman" w:hAnsi="Calibri" w:cs="Times New Roman"/>
                <w:b/>
                <w:bCs/>
                <w:sz w:val="20"/>
                <w:szCs w:val="20"/>
              </w:rPr>
              <w:t>Aplica</w:t>
            </w:r>
            <w:r w:rsidR="00090508" w:rsidRPr="00EA7F24">
              <w:rPr>
                <w:rFonts w:ascii="Calibri" w:eastAsia="Times New Roman" w:hAnsi="Calibri" w:cs="Times New Roman"/>
                <w:b/>
                <w:bCs/>
                <w:sz w:val="20"/>
                <w:szCs w:val="20"/>
              </w:rPr>
              <w:t>,</w:t>
            </w:r>
            <w:r w:rsidRPr="00EA7F24">
              <w:rPr>
                <w:rFonts w:ascii="Calibri" w:eastAsia="Times New Roman" w:hAnsi="Calibri" w:cs="Times New Roman"/>
                <w:b/>
                <w:bCs/>
                <w:sz w:val="20"/>
                <w:szCs w:val="20"/>
              </w:rPr>
              <w:t xml:space="preserve"> </w:t>
            </w:r>
            <w:r w:rsidRPr="00EA7F24">
              <w:rPr>
                <w:rFonts w:ascii="Calibri" w:eastAsia="Times New Roman" w:hAnsi="Calibri" w:cs="Times New Roman"/>
                <w:bCs/>
                <w:sz w:val="20"/>
                <w:szCs w:val="20"/>
              </w:rPr>
              <w:t xml:space="preserve"> con</w:t>
            </w:r>
            <w:proofErr w:type="gramEnd"/>
            <w:r w:rsidRPr="00EA7F24">
              <w:rPr>
                <w:rFonts w:ascii="Calibri" w:eastAsia="Times New Roman" w:hAnsi="Calibri" w:cs="Times New Roman"/>
                <w:bCs/>
                <w:sz w:val="20"/>
                <w:szCs w:val="20"/>
              </w:rPr>
              <w:t xml:space="preserve"> fundamento en el artículo 40 de la Ley Orgánica de</w:t>
            </w:r>
            <w:r w:rsidR="00E12955" w:rsidRPr="00EA7F24">
              <w:rPr>
                <w:rFonts w:ascii="Calibri" w:eastAsia="Times New Roman" w:hAnsi="Calibri" w:cs="Times New Roman"/>
                <w:bCs/>
                <w:sz w:val="20"/>
                <w:szCs w:val="20"/>
              </w:rPr>
              <w:t xml:space="preserve"> la Administración Pública del E</w:t>
            </w:r>
            <w:r w:rsidRPr="00EA7F24">
              <w:rPr>
                <w:rFonts w:ascii="Calibri" w:eastAsia="Times New Roman" w:hAnsi="Calibri" w:cs="Times New Roman"/>
                <w:bCs/>
                <w:sz w:val="20"/>
                <w:szCs w:val="20"/>
              </w:rPr>
              <w:t xml:space="preserve">stado, </w:t>
            </w:r>
            <w:r w:rsidR="00EA7F24">
              <w:rPr>
                <w:rFonts w:ascii="Calibri" w:eastAsia="Times New Roman" w:hAnsi="Calibri" w:cs="Times New Roman"/>
                <w:bCs/>
                <w:sz w:val="20"/>
                <w:szCs w:val="20"/>
              </w:rPr>
              <w:t>toda vez</w:t>
            </w:r>
            <w:r w:rsidRPr="00EA7F24">
              <w:rPr>
                <w:rFonts w:ascii="Calibri" w:eastAsia="Times New Roman" w:hAnsi="Calibri" w:cs="Times New Roman"/>
                <w:bCs/>
                <w:sz w:val="20"/>
                <w:szCs w:val="20"/>
              </w:rPr>
              <w:t xml:space="preserve"> que no encuadra dentro de las facultades que la ley le confiere a esta Consejería.</w:t>
            </w:r>
            <w:r w:rsidR="00F759DC" w:rsidRPr="00EA7F24">
              <w:rPr>
                <w:rFonts w:ascii="Calibri" w:eastAsia="Times New Roman" w:hAnsi="Calibri" w:cs="Times New Roman"/>
                <w:sz w:val="16"/>
              </w:rPr>
              <w:t xml:space="preserve">  </w:t>
            </w:r>
          </w:p>
          <w:p w:rsidR="00EA7F24" w:rsidRPr="00EA7F24" w:rsidRDefault="00EA7F24" w:rsidP="00EA7F24">
            <w:pPr>
              <w:spacing w:after="0" w:line="240" w:lineRule="auto"/>
              <w:jc w:val="both"/>
              <w:rPr>
                <w:rFonts w:ascii="Calibri" w:eastAsia="Times New Roman" w:hAnsi="Calibri" w:cs="Times New Roman"/>
                <w:sz w:val="20"/>
                <w:szCs w:val="20"/>
              </w:rPr>
            </w:pPr>
            <w:r>
              <w:rPr>
                <w:rFonts w:ascii="Calibri" w:eastAsia="Times New Roman" w:hAnsi="Calibri" w:cs="Times New Roman"/>
                <w:bCs/>
                <w:sz w:val="20"/>
                <w:szCs w:val="20"/>
              </w:rPr>
              <w:t>De conformidad con</w:t>
            </w:r>
            <w:r w:rsidRPr="00EA7F24">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el </w:t>
            </w:r>
            <w:r>
              <w:rPr>
                <w:rFonts w:ascii="Calibri" w:eastAsia="Times New Roman" w:hAnsi="Calibri" w:cs="Times New Roman"/>
                <w:sz w:val="20"/>
                <w:szCs w:val="20"/>
              </w:rPr>
              <w:t>artículo 25</w:t>
            </w:r>
            <w:r w:rsidRPr="00EA7F24">
              <w:rPr>
                <w:rFonts w:ascii="Calibri" w:eastAsia="Times New Roman" w:hAnsi="Calibri" w:cs="Times New Roman"/>
                <w:sz w:val="20"/>
                <w:szCs w:val="20"/>
              </w:rPr>
              <w:t xml:space="preserve"> fracción </w:t>
            </w:r>
            <w:r w:rsidRPr="00EA7F24">
              <w:rPr>
                <w:rFonts w:ascii="Calibri" w:eastAsia="Times New Roman" w:hAnsi="Calibri" w:cs="Times New Roman"/>
                <w:bCs/>
                <w:sz w:val="20"/>
                <w:szCs w:val="20"/>
              </w:rPr>
              <w:t>XII</w:t>
            </w:r>
            <w:r w:rsidRPr="00EA7F24">
              <w:rPr>
                <w:rFonts w:ascii="Calibri" w:eastAsia="Times New Roman" w:hAnsi="Calibri" w:cs="Times New Roman"/>
                <w:b/>
                <w:bCs/>
                <w:sz w:val="20"/>
                <w:szCs w:val="20"/>
              </w:rPr>
              <w:t xml:space="preserve"> </w:t>
            </w:r>
            <w:r w:rsidRPr="00EA7F24">
              <w:rPr>
                <w:rFonts w:ascii="Calibri" w:eastAsia="Times New Roman" w:hAnsi="Calibri" w:cs="Times New Roman"/>
                <w:sz w:val="20"/>
                <w:szCs w:val="20"/>
              </w:rPr>
              <w:t>de la Ley Orgánica de</w:t>
            </w:r>
            <w:r w:rsidRPr="00EA7F24">
              <w:rPr>
                <w:rFonts w:ascii="Calibri" w:eastAsia="Times New Roman" w:hAnsi="Calibri" w:cs="Times New Roman"/>
                <w:bCs/>
                <w:sz w:val="20"/>
                <w:szCs w:val="20"/>
              </w:rPr>
              <w:t xml:space="preserve"> l</w:t>
            </w:r>
            <w:r w:rsidRPr="00EA7F24">
              <w:rPr>
                <w:rFonts w:ascii="Calibri" w:eastAsia="Times New Roman" w:hAnsi="Calibri" w:cs="Times New Roman"/>
                <w:sz w:val="20"/>
                <w:szCs w:val="20"/>
              </w:rPr>
              <w:t>a Administración Pública del Estado de</w:t>
            </w:r>
            <w:r w:rsidRPr="00EA7F24">
              <w:rPr>
                <w:rFonts w:ascii="Calibri" w:eastAsia="Times New Roman" w:hAnsi="Calibri" w:cs="Times New Roman"/>
                <w:bCs/>
                <w:sz w:val="20"/>
                <w:szCs w:val="20"/>
              </w:rPr>
              <w:t xml:space="preserve"> </w:t>
            </w:r>
            <w:r w:rsidRPr="00EA7F24">
              <w:rPr>
                <w:rFonts w:ascii="Calibri" w:eastAsia="Times New Roman" w:hAnsi="Calibri" w:cs="Times New Roman"/>
                <w:sz w:val="20"/>
                <w:szCs w:val="20"/>
              </w:rPr>
              <w:t xml:space="preserve">Campeche, </w:t>
            </w:r>
            <w:r>
              <w:rPr>
                <w:rFonts w:ascii="Calibri" w:eastAsia="Times New Roman" w:hAnsi="Calibri" w:cs="Times New Roman"/>
                <w:sz w:val="20"/>
                <w:szCs w:val="20"/>
              </w:rPr>
              <w:t>esta atribución le corresponda</w:t>
            </w:r>
            <w:r w:rsidRPr="00EA7F24">
              <w:rPr>
                <w:rFonts w:ascii="Calibri" w:eastAsia="Times New Roman" w:hAnsi="Calibri" w:cs="Times New Roman"/>
                <w:sz w:val="20"/>
                <w:szCs w:val="20"/>
              </w:rPr>
              <w:t xml:space="preserve"> a la Secretaría de Gobierno.</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8049E0" w:rsidRDefault="00B12FAC" w:rsidP="008049E0">
            <w:pPr>
              <w:spacing w:after="0" w:line="240" w:lineRule="auto"/>
              <w:jc w:val="both"/>
              <w:rPr>
                <w:rFonts w:ascii="Calibri" w:eastAsia="Times New Roman" w:hAnsi="Calibri" w:cs="Times New Roman"/>
                <w:color w:val="000000"/>
                <w:sz w:val="20"/>
                <w:szCs w:val="20"/>
              </w:rPr>
            </w:pPr>
          </w:p>
        </w:tc>
      </w:tr>
      <w:tr w:rsidR="0034264C" w:rsidRPr="00E332E7" w:rsidTr="0034264C">
        <w:trPr>
          <w:trHeight w:val="1800"/>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16"/>
              </w:rPr>
            </w:pPr>
            <w:r w:rsidRPr="00D00D30">
              <w:rPr>
                <w:rFonts w:ascii="Calibri" w:eastAsia="Times New Roman" w:hAnsi="Calibri" w:cs="Times New Roman"/>
                <w:sz w:val="16"/>
              </w:rPr>
              <w:t>IV.</w:t>
            </w:r>
          </w:p>
        </w:tc>
        <w:tc>
          <w:tcPr>
            <w:tcW w:w="1280" w:type="pct"/>
            <w:tcBorders>
              <w:top w:val="nil"/>
              <w:left w:val="nil"/>
              <w:bottom w:val="dotted" w:sz="4" w:space="0" w:color="auto"/>
              <w:right w:val="dotted" w:sz="4" w:space="0" w:color="auto"/>
            </w:tcBorders>
            <w:shd w:val="clear" w:color="auto" w:fill="auto"/>
            <w:vAlign w:val="center"/>
            <w:hideMark/>
          </w:tcPr>
          <w:p w:rsidR="00C2294A" w:rsidRDefault="00C2294A" w:rsidP="001E7997">
            <w:pPr>
              <w:spacing w:after="0" w:line="240" w:lineRule="auto"/>
              <w:jc w:val="both"/>
              <w:rPr>
                <w:rFonts w:ascii="Calibri" w:eastAsia="Times New Roman" w:hAnsi="Calibri" w:cs="Times New Roman"/>
                <w:sz w:val="20"/>
                <w:szCs w:val="20"/>
              </w:rPr>
            </w:pPr>
          </w:p>
          <w:p w:rsidR="00B12FAC" w:rsidRDefault="00B12FAC" w:rsidP="001E7997">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p w:rsidR="00C2294A" w:rsidRPr="00D00D30" w:rsidRDefault="00C2294A" w:rsidP="001E7997">
            <w:pPr>
              <w:spacing w:after="0" w:line="240" w:lineRule="auto"/>
              <w:jc w:val="both"/>
              <w:rPr>
                <w:rFonts w:ascii="Calibri" w:eastAsia="Times New Roman" w:hAnsi="Calibri" w:cs="Times New Roman"/>
                <w:sz w:val="20"/>
                <w:szCs w:val="20"/>
              </w:rPr>
            </w:pPr>
          </w:p>
        </w:tc>
        <w:tc>
          <w:tcPr>
            <w:tcW w:w="1090" w:type="pct"/>
            <w:tcBorders>
              <w:top w:val="nil"/>
              <w:left w:val="nil"/>
              <w:bottom w:val="dotted" w:sz="4" w:space="0" w:color="auto"/>
              <w:right w:val="dotted" w:sz="4" w:space="0" w:color="auto"/>
            </w:tcBorders>
            <w:shd w:val="clear" w:color="auto" w:fill="auto"/>
            <w:noWrap/>
            <w:vAlign w:val="center"/>
            <w:hideMark/>
          </w:tcPr>
          <w:p w:rsidR="003C4A1A" w:rsidRDefault="00AE1606" w:rsidP="00AE1606">
            <w:pPr>
              <w:spacing w:after="0" w:line="240" w:lineRule="auto"/>
              <w:jc w:val="both"/>
              <w:rPr>
                <w:rFonts w:ascii="Calibri" w:eastAsia="Times New Roman" w:hAnsi="Calibri" w:cs="Times New Roman"/>
                <w:bCs/>
                <w:sz w:val="20"/>
                <w:szCs w:val="20"/>
              </w:rPr>
            </w:pPr>
            <w:r w:rsidRPr="00833C2C">
              <w:rPr>
                <w:rFonts w:ascii="Calibri" w:eastAsia="Times New Roman" w:hAnsi="Calibri" w:cs="Times New Roman"/>
                <w:b/>
                <w:bCs/>
                <w:sz w:val="20"/>
                <w:szCs w:val="20"/>
              </w:rPr>
              <w:t xml:space="preserve">No </w:t>
            </w:r>
            <w:proofErr w:type="gramStart"/>
            <w:r w:rsidRPr="00833C2C">
              <w:rPr>
                <w:rFonts w:ascii="Calibri" w:eastAsia="Times New Roman" w:hAnsi="Calibri" w:cs="Times New Roman"/>
                <w:b/>
                <w:bCs/>
                <w:sz w:val="20"/>
                <w:szCs w:val="20"/>
              </w:rPr>
              <w:t>Aplica</w:t>
            </w:r>
            <w:r w:rsidR="00EB46FE">
              <w:rPr>
                <w:rFonts w:ascii="Calibri" w:eastAsia="Times New Roman" w:hAnsi="Calibri" w:cs="Times New Roman"/>
                <w:b/>
                <w:bCs/>
                <w:sz w:val="20"/>
                <w:szCs w:val="20"/>
              </w:rPr>
              <w:t>,</w:t>
            </w:r>
            <w:r w:rsidRPr="0034264C">
              <w:rPr>
                <w:rFonts w:ascii="Calibri" w:eastAsia="Times New Roman" w:hAnsi="Calibri" w:cs="Times New Roman"/>
                <w:bCs/>
                <w:sz w:val="20"/>
                <w:szCs w:val="20"/>
              </w:rPr>
              <w:t xml:space="preserve">  con</w:t>
            </w:r>
            <w:proofErr w:type="gramEnd"/>
            <w:r w:rsidRPr="0034264C">
              <w:rPr>
                <w:rFonts w:ascii="Calibri" w:eastAsia="Times New Roman" w:hAnsi="Calibri" w:cs="Times New Roman"/>
                <w:bCs/>
                <w:sz w:val="20"/>
                <w:szCs w:val="20"/>
              </w:rPr>
              <w:t xml:space="preserve"> fundamento en el artículo 40 de la Ley Orgánica de </w:t>
            </w:r>
            <w:r w:rsidR="00286C01">
              <w:rPr>
                <w:rFonts w:ascii="Calibri" w:eastAsia="Times New Roman" w:hAnsi="Calibri" w:cs="Times New Roman"/>
                <w:bCs/>
                <w:sz w:val="20"/>
                <w:szCs w:val="20"/>
              </w:rPr>
              <w:t>la Administración Pública del Es</w:t>
            </w:r>
            <w:r w:rsidRPr="0034264C">
              <w:rPr>
                <w:rFonts w:ascii="Calibri" w:eastAsia="Times New Roman" w:hAnsi="Calibri" w:cs="Times New Roman"/>
                <w:bCs/>
                <w:sz w:val="20"/>
                <w:szCs w:val="20"/>
              </w:rPr>
              <w:t xml:space="preserve">tado, </w:t>
            </w:r>
            <w:r w:rsidR="00EB46FE">
              <w:rPr>
                <w:rFonts w:ascii="Calibri" w:eastAsia="Times New Roman" w:hAnsi="Calibri" w:cs="Times New Roman"/>
                <w:bCs/>
                <w:sz w:val="20"/>
                <w:szCs w:val="20"/>
              </w:rPr>
              <w:t>debido a</w:t>
            </w:r>
            <w:r w:rsidRPr="0034264C">
              <w:rPr>
                <w:rFonts w:ascii="Calibri" w:eastAsia="Times New Roman" w:hAnsi="Calibri" w:cs="Times New Roman"/>
                <w:bCs/>
                <w:sz w:val="20"/>
                <w:szCs w:val="20"/>
              </w:rPr>
              <w:t xml:space="preserve"> que no encuadra dentro de las facultades que la ley le confiere a esta Consejería.</w:t>
            </w:r>
            <w:r w:rsidR="00833C2C">
              <w:rPr>
                <w:rFonts w:ascii="Calibri" w:eastAsia="Times New Roman" w:hAnsi="Calibri" w:cs="Times New Roman"/>
                <w:bCs/>
                <w:sz w:val="20"/>
                <w:szCs w:val="20"/>
              </w:rPr>
              <w:t xml:space="preserve"> </w:t>
            </w:r>
          </w:p>
          <w:p w:rsidR="00B12FAC" w:rsidRPr="0034264C" w:rsidRDefault="00E12955" w:rsidP="00AE1606">
            <w:pPr>
              <w:spacing w:after="0" w:line="240" w:lineRule="auto"/>
              <w:jc w:val="both"/>
              <w:rPr>
                <w:rFonts w:ascii="Calibri" w:eastAsia="Times New Roman" w:hAnsi="Calibri" w:cs="Times New Roman"/>
                <w:color w:val="2F2F2F"/>
                <w:sz w:val="20"/>
                <w:szCs w:val="20"/>
              </w:rPr>
            </w:pPr>
            <w:r>
              <w:rPr>
                <w:rFonts w:ascii="Calibri" w:eastAsia="Times New Roman" w:hAnsi="Calibri" w:cs="Times New Roman"/>
                <w:color w:val="000000"/>
                <w:sz w:val="20"/>
                <w:szCs w:val="20"/>
              </w:rPr>
              <w:t>Dicha facultad</w:t>
            </w:r>
            <w:r w:rsidR="00833C2C">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le corresponde a la Secretaría de Finanzas, de conformidad con el</w:t>
            </w:r>
            <w:r w:rsidR="00833C2C">
              <w:rPr>
                <w:rFonts w:ascii="Calibri" w:eastAsia="Times New Roman" w:hAnsi="Calibri" w:cs="Times New Roman"/>
                <w:color w:val="000000"/>
                <w:sz w:val="20"/>
                <w:szCs w:val="20"/>
              </w:rPr>
              <w:t xml:space="preserve"> artículo 22 fracción X</w:t>
            </w:r>
            <w:r w:rsidR="00833C2C" w:rsidRPr="006942C0">
              <w:rPr>
                <w:rFonts w:ascii="Calibri" w:eastAsia="Times New Roman" w:hAnsi="Calibri" w:cs="Times New Roman"/>
                <w:color w:val="000000"/>
                <w:sz w:val="20"/>
                <w:szCs w:val="20"/>
              </w:rPr>
              <w:t xml:space="preserve"> de la Ley </w:t>
            </w:r>
            <w:r w:rsidR="00833C2C">
              <w:rPr>
                <w:rFonts w:ascii="Calibri" w:eastAsia="Times New Roman" w:hAnsi="Calibri" w:cs="Times New Roman"/>
                <w:color w:val="000000"/>
                <w:sz w:val="20"/>
                <w:szCs w:val="20"/>
              </w:rPr>
              <w:t xml:space="preserve">Orgánica de la Administración Pública del </w:t>
            </w:r>
            <w:r>
              <w:rPr>
                <w:rFonts w:ascii="Calibri" w:eastAsia="Times New Roman" w:hAnsi="Calibri" w:cs="Times New Roman"/>
                <w:color w:val="000000"/>
                <w:sz w:val="20"/>
                <w:szCs w:val="20"/>
              </w:rPr>
              <w:t>Estado.</w:t>
            </w:r>
            <w:r w:rsidR="00833C2C">
              <w:rPr>
                <w:rFonts w:ascii="Calibri" w:eastAsia="Times New Roman" w:hAnsi="Calibri" w:cs="Times New Roman"/>
                <w:color w:val="000000"/>
                <w:sz w:val="20"/>
                <w:szCs w:val="20"/>
              </w:rPr>
              <w:t xml:space="preserve"> </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3D1A2A" w:rsidRDefault="00B12FAC" w:rsidP="00C2294A">
            <w:pPr>
              <w:spacing w:before="240" w:line="240" w:lineRule="auto"/>
              <w:jc w:val="both"/>
              <w:rPr>
                <w:rFonts w:ascii="Calibri" w:eastAsia="Times New Roman" w:hAnsi="Calibri" w:cs="Times New Roman"/>
                <w:color w:val="000000"/>
                <w:sz w:val="20"/>
                <w:szCs w:val="20"/>
              </w:rPr>
            </w:pPr>
          </w:p>
        </w:tc>
      </w:tr>
      <w:tr w:rsidR="0034264C" w:rsidRPr="00E332E7" w:rsidTr="003C4A1A">
        <w:trPr>
          <w:trHeight w:val="4177"/>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16"/>
              </w:rPr>
            </w:pPr>
            <w:r w:rsidRPr="00D00D30">
              <w:rPr>
                <w:rFonts w:ascii="Calibri" w:eastAsia="Times New Roman" w:hAnsi="Calibri" w:cs="Times New Roman"/>
                <w:sz w:val="16"/>
              </w:rPr>
              <w:t>V</w:t>
            </w:r>
          </w:p>
        </w:tc>
        <w:tc>
          <w:tcPr>
            <w:tcW w:w="1280" w:type="pct"/>
            <w:tcBorders>
              <w:top w:val="nil"/>
              <w:left w:val="nil"/>
              <w:bottom w:val="dotted" w:sz="4" w:space="0" w:color="auto"/>
              <w:right w:val="dotted" w:sz="4" w:space="0" w:color="auto"/>
            </w:tcBorders>
            <w:shd w:val="clear" w:color="auto" w:fill="auto"/>
            <w:vAlign w:val="center"/>
            <w:hideMark/>
          </w:tcPr>
          <w:p w:rsidR="00C2294A" w:rsidRDefault="00C2294A" w:rsidP="001E7997">
            <w:pPr>
              <w:spacing w:after="0" w:line="240" w:lineRule="auto"/>
              <w:jc w:val="both"/>
              <w:rPr>
                <w:rFonts w:ascii="Calibri" w:eastAsia="Times New Roman" w:hAnsi="Calibri" w:cs="Times New Roman"/>
                <w:sz w:val="20"/>
                <w:szCs w:val="20"/>
              </w:rPr>
            </w:pPr>
          </w:p>
          <w:p w:rsidR="00B12FAC" w:rsidRDefault="00B12FAC" w:rsidP="001E7997">
            <w:pPr>
              <w:spacing w:after="0" w:line="240" w:lineRule="auto"/>
              <w:jc w:val="both"/>
              <w:rPr>
                <w:rFonts w:ascii="Calibri" w:eastAsia="Times New Roman" w:hAnsi="Calibri" w:cs="Times New Roman"/>
                <w:sz w:val="20"/>
                <w:szCs w:val="20"/>
              </w:rPr>
            </w:pPr>
            <w:r w:rsidRPr="003D1A2A">
              <w:rPr>
                <w:rFonts w:ascii="Calibri" w:eastAsia="Times New Roman" w:hAnsi="Calibri" w:cs="Times New Roman"/>
                <w:sz w:val="20"/>
                <w:szCs w:val="20"/>
              </w:rPr>
              <w:t>Los nombres de las personas a quienes se les habilitó para ejercer como corredores y notarios públicos, así como sus datos de contacto, la información relacionada con el proceso de otorgamiento de la patente y las sanciones que se les hubieran aplicado;</w:t>
            </w:r>
          </w:p>
          <w:p w:rsidR="00C2294A" w:rsidRPr="003D1A2A" w:rsidRDefault="00C2294A" w:rsidP="001E7997">
            <w:pPr>
              <w:spacing w:after="0" w:line="240" w:lineRule="auto"/>
              <w:jc w:val="both"/>
              <w:rPr>
                <w:rFonts w:ascii="Calibri" w:eastAsia="Times New Roman" w:hAnsi="Calibri" w:cs="Times New Roman"/>
                <w:sz w:val="20"/>
                <w:szCs w:val="20"/>
              </w:rPr>
            </w:pPr>
          </w:p>
        </w:tc>
        <w:tc>
          <w:tcPr>
            <w:tcW w:w="1090" w:type="pct"/>
            <w:tcBorders>
              <w:top w:val="nil"/>
              <w:left w:val="nil"/>
              <w:bottom w:val="dotted" w:sz="4" w:space="0" w:color="auto"/>
              <w:right w:val="dotted" w:sz="4" w:space="0" w:color="auto"/>
            </w:tcBorders>
            <w:shd w:val="clear" w:color="auto" w:fill="auto"/>
            <w:noWrap/>
            <w:vAlign w:val="center"/>
            <w:hideMark/>
          </w:tcPr>
          <w:p w:rsidR="00C2294A" w:rsidRDefault="00286C01" w:rsidP="00D00D30">
            <w:pPr>
              <w:spacing w:after="0" w:line="240" w:lineRule="auto"/>
              <w:jc w:val="both"/>
              <w:rPr>
                <w:rFonts w:ascii="Calibri" w:eastAsia="Times New Roman" w:hAnsi="Calibri" w:cs="Times New Roman"/>
                <w:bCs/>
                <w:sz w:val="20"/>
                <w:szCs w:val="20"/>
              </w:rPr>
            </w:pPr>
            <w:r w:rsidRPr="006F2F89">
              <w:rPr>
                <w:rFonts w:ascii="Calibri" w:eastAsia="Times New Roman" w:hAnsi="Calibri" w:cs="Times New Roman"/>
                <w:b/>
                <w:bCs/>
                <w:sz w:val="20"/>
                <w:szCs w:val="20"/>
              </w:rPr>
              <w:t>Aplica</w:t>
            </w:r>
            <w:r>
              <w:rPr>
                <w:rFonts w:ascii="Calibri" w:eastAsia="Times New Roman" w:hAnsi="Calibri" w:cs="Times New Roman"/>
                <w:b/>
                <w:bCs/>
                <w:sz w:val="20"/>
                <w:szCs w:val="20"/>
              </w:rPr>
              <w:t xml:space="preserve">, </w:t>
            </w:r>
            <w:r w:rsidRPr="005F567F">
              <w:rPr>
                <w:rFonts w:ascii="Calibri" w:eastAsia="Times New Roman" w:hAnsi="Calibri" w:cs="Times New Roman"/>
                <w:bCs/>
                <w:sz w:val="20"/>
                <w:szCs w:val="20"/>
              </w:rPr>
              <w:t xml:space="preserve">sin </w:t>
            </w:r>
            <w:proofErr w:type="gramStart"/>
            <w:r w:rsidRPr="005F567F">
              <w:rPr>
                <w:rFonts w:ascii="Calibri" w:eastAsia="Times New Roman" w:hAnsi="Calibri" w:cs="Times New Roman"/>
                <w:bCs/>
                <w:sz w:val="20"/>
                <w:szCs w:val="20"/>
              </w:rPr>
              <w:t>embargo</w:t>
            </w:r>
            <w:r w:rsidRPr="003D3C21">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la</w:t>
            </w:r>
            <w:proofErr w:type="gramEnd"/>
            <w:r>
              <w:rPr>
                <w:rFonts w:ascii="Calibri" w:eastAsia="Times New Roman" w:hAnsi="Calibri" w:cs="Times New Roman"/>
                <w:bCs/>
                <w:sz w:val="20"/>
                <w:szCs w:val="20"/>
              </w:rPr>
              <w:t xml:space="preserve"> Consejería Jurídica sólo proporcionará el hipervínculo para el acceso a la información requerida debido a que, de acuerdo con lo dispuesto en el artículo 40 de la Ley Orgánica de la Administración Pública del Estado, no encuadra dentro de las facultades que la ley le confiere a esta Consejería. Dicha obligación</w:t>
            </w:r>
            <w:r w:rsidR="00246F5C">
              <w:rPr>
                <w:rFonts w:ascii="Calibri" w:eastAsia="Times New Roman" w:hAnsi="Calibri" w:cs="Times New Roman"/>
                <w:bCs/>
                <w:sz w:val="20"/>
                <w:szCs w:val="20"/>
              </w:rPr>
              <w:t>, así como su publicación y actualización,</w:t>
            </w:r>
            <w:r>
              <w:rPr>
                <w:rFonts w:ascii="Calibri" w:eastAsia="Times New Roman" w:hAnsi="Calibri" w:cs="Times New Roman"/>
                <w:bCs/>
                <w:sz w:val="20"/>
                <w:szCs w:val="20"/>
              </w:rPr>
              <w:t xml:space="preserve"> le corresponde a la Secretaría</w:t>
            </w:r>
            <w:r w:rsidR="006A718A">
              <w:rPr>
                <w:rFonts w:ascii="Calibri" w:eastAsia="Times New Roman" w:hAnsi="Calibri" w:cs="Times New Roman"/>
                <w:bCs/>
                <w:sz w:val="20"/>
                <w:szCs w:val="20"/>
              </w:rPr>
              <w:t xml:space="preserve"> de Gobierno</w:t>
            </w:r>
            <w:r>
              <w:rPr>
                <w:rFonts w:ascii="Calibri" w:eastAsia="Times New Roman" w:hAnsi="Calibri" w:cs="Times New Roman"/>
                <w:bCs/>
                <w:sz w:val="20"/>
                <w:szCs w:val="20"/>
              </w:rPr>
              <w:t>,</w:t>
            </w:r>
            <w:r w:rsidR="006A718A">
              <w:rPr>
                <w:rFonts w:ascii="Calibri" w:eastAsia="Times New Roman" w:hAnsi="Calibri" w:cs="Times New Roman"/>
                <w:bCs/>
                <w:sz w:val="20"/>
                <w:szCs w:val="20"/>
              </w:rPr>
              <w:t xml:space="preserve"> d</w:t>
            </w:r>
            <w:r w:rsidR="001869B7">
              <w:rPr>
                <w:rFonts w:ascii="Calibri" w:eastAsia="Times New Roman" w:hAnsi="Calibri" w:cs="Times New Roman"/>
                <w:color w:val="000000"/>
                <w:sz w:val="20"/>
                <w:szCs w:val="20"/>
              </w:rPr>
              <w:t>e conformidad con el</w:t>
            </w:r>
            <w:r>
              <w:rPr>
                <w:rFonts w:ascii="Calibri" w:eastAsia="Times New Roman" w:hAnsi="Calibri" w:cs="Times New Roman"/>
                <w:color w:val="000000"/>
                <w:sz w:val="20"/>
                <w:szCs w:val="20"/>
              </w:rPr>
              <w:t xml:space="preserve"> artículo 21 fracción X</w:t>
            </w:r>
            <w:r w:rsidR="006A718A">
              <w:rPr>
                <w:rFonts w:ascii="Calibri" w:eastAsia="Times New Roman" w:hAnsi="Calibri" w:cs="Times New Roman"/>
                <w:color w:val="000000"/>
                <w:sz w:val="20"/>
                <w:szCs w:val="20"/>
              </w:rPr>
              <w:t>VI</w:t>
            </w:r>
            <w:r w:rsidR="006A718A" w:rsidRPr="006942C0">
              <w:rPr>
                <w:rFonts w:ascii="Calibri" w:eastAsia="Times New Roman" w:hAnsi="Calibri" w:cs="Times New Roman"/>
                <w:color w:val="000000"/>
                <w:sz w:val="20"/>
                <w:szCs w:val="20"/>
              </w:rPr>
              <w:t xml:space="preserve"> de la Ley </w:t>
            </w:r>
            <w:r w:rsidR="006A718A">
              <w:rPr>
                <w:rFonts w:ascii="Calibri" w:eastAsia="Times New Roman" w:hAnsi="Calibri" w:cs="Times New Roman"/>
                <w:color w:val="000000"/>
                <w:sz w:val="20"/>
                <w:szCs w:val="20"/>
              </w:rPr>
              <w:t>Orgánica de la Administración Pública del Estado</w:t>
            </w:r>
            <w:r w:rsidR="001869B7">
              <w:rPr>
                <w:rFonts w:ascii="Calibri" w:eastAsia="Times New Roman" w:hAnsi="Calibri" w:cs="Times New Roman"/>
                <w:color w:val="000000"/>
                <w:sz w:val="20"/>
                <w:szCs w:val="20"/>
              </w:rPr>
              <w:t>.</w:t>
            </w:r>
          </w:p>
          <w:p w:rsidR="00B12FAC" w:rsidRPr="003D1A2A" w:rsidRDefault="00B12FAC" w:rsidP="00D00D30">
            <w:pPr>
              <w:spacing w:after="0" w:line="240" w:lineRule="auto"/>
              <w:jc w:val="both"/>
              <w:rPr>
                <w:rFonts w:ascii="Calibri" w:eastAsia="Times New Roman" w:hAnsi="Calibri" w:cs="Times New Roman"/>
                <w:color w:val="2F2F2F"/>
                <w:sz w:val="20"/>
                <w:szCs w:val="20"/>
              </w:rPr>
            </w:pP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3D1A2A" w:rsidRDefault="00BA248E" w:rsidP="00BA248E">
            <w:pPr>
              <w:spacing w:line="72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Unida de Transparencia</w:t>
            </w:r>
          </w:p>
        </w:tc>
      </w:tr>
      <w:tr w:rsidR="00246F5C" w:rsidRPr="00E332E7" w:rsidTr="005653D9">
        <w:trPr>
          <w:trHeight w:val="4460"/>
          <w:jc w:val="center"/>
        </w:trPr>
        <w:tc>
          <w:tcPr>
            <w:tcW w:w="479" w:type="pct"/>
            <w:vMerge/>
            <w:tcBorders>
              <w:top w:val="nil"/>
              <w:left w:val="dotted" w:sz="4" w:space="0" w:color="auto"/>
              <w:bottom w:val="dotted" w:sz="4" w:space="0" w:color="auto"/>
              <w:right w:val="dotted" w:sz="4" w:space="0" w:color="auto"/>
            </w:tcBorders>
            <w:vAlign w:val="center"/>
          </w:tcPr>
          <w:p w:rsidR="00246F5C" w:rsidRPr="00D00D30" w:rsidRDefault="00246F5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tcPr>
          <w:p w:rsidR="00246F5C" w:rsidRPr="00D00D30" w:rsidRDefault="00246F5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tcPr>
          <w:p w:rsidR="00246F5C" w:rsidRPr="00D00D30" w:rsidRDefault="00246F5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tcPr>
          <w:p w:rsidR="00246F5C" w:rsidRPr="00D00D30" w:rsidRDefault="00246F5C" w:rsidP="0021186B">
            <w:pPr>
              <w:spacing w:after="0" w:line="240" w:lineRule="auto"/>
              <w:jc w:val="center"/>
              <w:rPr>
                <w:rFonts w:ascii="Calibri" w:eastAsia="Times New Roman" w:hAnsi="Calibri" w:cs="Times New Roman"/>
                <w:sz w:val="16"/>
              </w:rPr>
            </w:pPr>
            <w:r>
              <w:rPr>
                <w:rFonts w:ascii="Calibri" w:eastAsia="Times New Roman" w:hAnsi="Calibri" w:cs="Times New Roman"/>
                <w:sz w:val="16"/>
              </w:rPr>
              <w:t>VI.</w:t>
            </w:r>
          </w:p>
        </w:tc>
        <w:tc>
          <w:tcPr>
            <w:tcW w:w="1280" w:type="pct"/>
            <w:tcBorders>
              <w:top w:val="nil"/>
              <w:left w:val="nil"/>
              <w:bottom w:val="dotted" w:sz="4" w:space="0" w:color="auto"/>
              <w:right w:val="dotted" w:sz="4" w:space="0" w:color="auto"/>
            </w:tcBorders>
            <w:shd w:val="clear" w:color="auto" w:fill="auto"/>
            <w:vAlign w:val="center"/>
          </w:tcPr>
          <w:p w:rsidR="00246F5C" w:rsidRDefault="00BA248E" w:rsidP="001E7997">
            <w:pPr>
              <w:spacing w:after="0" w:line="240" w:lineRule="auto"/>
              <w:jc w:val="both"/>
              <w:rPr>
                <w:rFonts w:ascii="Calibri" w:eastAsia="Times New Roman" w:hAnsi="Calibri" w:cs="Times New Roman"/>
                <w:sz w:val="20"/>
                <w:szCs w:val="20"/>
              </w:rPr>
            </w:pPr>
            <w:r w:rsidRPr="003D1A2A">
              <w:rPr>
                <w:rFonts w:ascii="Calibri" w:eastAsia="Times New Roman" w:hAnsi="Calibri" w:cs="Times New Roman"/>
                <w:sz w:val="20"/>
                <w:szCs w:val="20"/>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p>
        </w:tc>
        <w:tc>
          <w:tcPr>
            <w:tcW w:w="1090" w:type="pct"/>
            <w:tcBorders>
              <w:top w:val="nil"/>
              <w:left w:val="nil"/>
              <w:bottom w:val="dotted" w:sz="4" w:space="0" w:color="auto"/>
              <w:right w:val="dotted" w:sz="4" w:space="0" w:color="auto"/>
            </w:tcBorders>
            <w:shd w:val="clear" w:color="auto" w:fill="auto"/>
            <w:noWrap/>
            <w:vAlign w:val="center"/>
          </w:tcPr>
          <w:p w:rsidR="00BA248E" w:rsidRDefault="00BA248E" w:rsidP="00BA248E">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b/>
                <w:bCs/>
                <w:sz w:val="20"/>
                <w:szCs w:val="20"/>
              </w:rPr>
              <w:t>No Aplica,</w:t>
            </w:r>
            <w:r w:rsidRPr="002F7888">
              <w:rPr>
                <w:rFonts w:ascii="Calibri" w:eastAsia="Times New Roman" w:hAnsi="Calibri" w:cs="Times New Roman"/>
                <w:b/>
                <w:bCs/>
                <w:sz w:val="20"/>
                <w:szCs w:val="20"/>
              </w:rPr>
              <w:t xml:space="preserve"> </w:t>
            </w:r>
            <w:r w:rsidRPr="0034264C">
              <w:rPr>
                <w:rFonts w:ascii="Calibri" w:eastAsia="Times New Roman" w:hAnsi="Calibri" w:cs="Times New Roman"/>
                <w:bCs/>
                <w:sz w:val="20"/>
                <w:szCs w:val="20"/>
              </w:rPr>
              <w:t>con fundamento en el artículo 40 de la Ley Orgánica de</w:t>
            </w:r>
            <w:r>
              <w:rPr>
                <w:rFonts w:ascii="Calibri" w:eastAsia="Times New Roman" w:hAnsi="Calibri" w:cs="Times New Roman"/>
                <w:bCs/>
                <w:sz w:val="20"/>
                <w:szCs w:val="20"/>
              </w:rPr>
              <w:t xml:space="preserve"> la Administración Pública del E</w:t>
            </w:r>
            <w:r w:rsidRPr="0034264C">
              <w:rPr>
                <w:rFonts w:ascii="Calibri" w:eastAsia="Times New Roman" w:hAnsi="Calibri" w:cs="Times New Roman"/>
                <w:bCs/>
                <w:sz w:val="20"/>
                <w:szCs w:val="20"/>
              </w:rPr>
              <w:t xml:space="preserve">stado, </w:t>
            </w:r>
            <w:r>
              <w:rPr>
                <w:rFonts w:ascii="Calibri" w:eastAsia="Times New Roman" w:hAnsi="Calibri" w:cs="Times New Roman"/>
                <w:bCs/>
                <w:sz w:val="20"/>
                <w:szCs w:val="20"/>
              </w:rPr>
              <w:t>debido a</w:t>
            </w:r>
            <w:r w:rsidRPr="0034264C">
              <w:rPr>
                <w:rFonts w:ascii="Calibri" w:eastAsia="Times New Roman" w:hAnsi="Calibri" w:cs="Times New Roman"/>
                <w:bCs/>
                <w:sz w:val="20"/>
                <w:szCs w:val="20"/>
              </w:rPr>
              <w:t xml:space="preserve"> que no encuadra dentro de las facultades que la ley le confiere a esta Consejería.</w:t>
            </w:r>
            <w:r>
              <w:rPr>
                <w:rFonts w:ascii="Calibri" w:eastAsia="Times New Roman" w:hAnsi="Calibri" w:cs="Times New Roman"/>
                <w:color w:val="000000"/>
                <w:sz w:val="20"/>
                <w:szCs w:val="20"/>
              </w:rPr>
              <w:t xml:space="preserve"> </w:t>
            </w:r>
          </w:p>
          <w:p w:rsidR="00246F5C" w:rsidRPr="00246F5C" w:rsidRDefault="00BA248E" w:rsidP="00BA248E">
            <w:pPr>
              <w:spacing w:after="0" w:line="240" w:lineRule="auto"/>
              <w:jc w:val="both"/>
              <w:rPr>
                <w:rFonts w:ascii="Calibri" w:eastAsia="Times New Roman" w:hAnsi="Calibri" w:cs="Times New Roman"/>
                <w:bCs/>
                <w:sz w:val="20"/>
                <w:szCs w:val="20"/>
              </w:rPr>
            </w:pPr>
            <w:r>
              <w:rPr>
                <w:rFonts w:ascii="Calibri" w:eastAsia="Times New Roman" w:hAnsi="Calibri" w:cs="Times New Roman"/>
                <w:color w:val="000000"/>
                <w:sz w:val="20"/>
                <w:szCs w:val="20"/>
              </w:rPr>
              <w:t>La Consejería Jurídica no tiene atribuciones de emitir disposiciones que contengan una vinculación con la ciudadanía, sea por su aplicación directa o por la modificación de algún trámite, servicio o regulación accesible para cualquier persona.</w:t>
            </w:r>
          </w:p>
        </w:tc>
        <w:tc>
          <w:tcPr>
            <w:tcW w:w="911" w:type="pct"/>
            <w:tcBorders>
              <w:top w:val="nil"/>
              <w:left w:val="nil"/>
              <w:bottom w:val="dotted" w:sz="4" w:space="0" w:color="auto"/>
              <w:right w:val="dotted" w:sz="4" w:space="0" w:color="auto"/>
            </w:tcBorders>
            <w:shd w:val="clear" w:color="auto" w:fill="auto"/>
            <w:noWrap/>
            <w:vAlign w:val="bottom"/>
          </w:tcPr>
          <w:p w:rsidR="00246F5C" w:rsidRDefault="00246F5C" w:rsidP="00286C01">
            <w:pPr>
              <w:spacing w:line="720" w:lineRule="auto"/>
              <w:jc w:val="center"/>
              <w:rPr>
                <w:rFonts w:ascii="Calibri" w:eastAsia="Times New Roman" w:hAnsi="Calibri" w:cs="Times New Roman"/>
                <w:color w:val="000000"/>
                <w:sz w:val="20"/>
                <w:szCs w:val="20"/>
              </w:rPr>
            </w:pPr>
          </w:p>
        </w:tc>
      </w:tr>
      <w:tr w:rsidR="0034264C" w:rsidRPr="00E332E7" w:rsidTr="005653D9">
        <w:trPr>
          <w:trHeight w:val="70"/>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B12FAC" w:rsidP="0021186B">
            <w:pPr>
              <w:spacing w:after="0" w:line="240" w:lineRule="auto"/>
              <w:jc w:val="center"/>
              <w:rPr>
                <w:rFonts w:ascii="Calibri" w:eastAsia="Times New Roman" w:hAnsi="Calibri" w:cs="Times New Roman"/>
                <w:sz w:val="16"/>
              </w:rPr>
            </w:pPr>
          </w:p>
        </w:tc>
        <w:tc>
          <w:tcPr>
            <w:tcW w:w="1280" w:type="pct"/>
            <w:tcBorders>
              <w:top w:val="nil"/>
              <w:left w:val="nil"/>
              <w:bottom w:val="dotted" w:sz="4" w:space="0" w:color="auto"/>
              <w:right w:val="dotted" w:sz="4" w:space="0" w:color="auto"/>
            </w:tcBorders>
            <w:shd w:val="clear" w:color="auto" w:fill="auto"/>
            <w:vAlign w:val="center"/>
            <w:hideMark/>
          </w:tcPr>
          <w:p w:rsidR="00B12FAC" w:rsidRPr="003D1A2A" w:rsidRDefault="00B12FAC" w:rsidP="001E7997">
            <w:pPr>
              <w:spacing w:after="0" w:line="240" w:lineRule="auto"/>
              <w:jc w:val="both"/>
              <w:rPr>
                <w:rFonts w:ascii="Calibri" w:eastAsia="Times New Roman" w:hAnsi="Calibri" w:cs="Times New Roman"/>
                <w:sz w:val="20"/>
                <w:szCs w:val="20"/>
              </w:rPr>
            </w:pPr>
          </w:p>
        </w:tc>
        <w:tc>
          <w:tcPr>
            <w:tcW w:w="1090" w:type="pct"/>
            <w:tcBorders>
              <w:top w:val="nil"/>
              <w:left w:val="nil"/>
              <w:bottom w:val="dotted" w:sz="4" w:space="0" w:color="auto"/>
              <w:right w:val="dotted" w:sz="4" w:space="0" w:color="auto"/>
            </w:tcBorders>
            <w:shd w:val="clear" w:color="auto" w:fill="auto"/>
            <w:noWrap/>
            <w:vAlign w:val="center"/>
            <w:hideMark/>
          </w:tcPr>
          <w:p w:rsidR="00B12FAC" w:rsidRPr="003D1A2A" w:rsidRDefault="00B12FAC" w:rsidP="00596FC4">
            <w:pPr>
              <w:spacing w:after="0" w:line="240" w:lineRule="auto"/>
              <w:jc w:val="both"/>
              <w:rPr>
                <w:rFonts w:ascii="Calibri" w:eastAsia="Times New Roman" w:hAnsi="Calibri" w:cs="Times New Roman"/>
                <w:color w:val="2F2F2F"/>
                <w:sz w:val="20"/>
                <w:szCs w:val="20"/>
              </w:rPr>
            </w:pP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3D1A2A" w:rsidRDefault="00B12FAC" w:rsidP="00FA0F93">
            <w:pPr>
              <w:spacing w:after="0" w:line="240" w:lineRule="auto"/>
              <w:jc w:val="both"/>
              <w:rPr>
                <w:rFonts w:ascii="Calibri" w:eastAsia="Times New Roman" w:hAnsi="Calibri" w:cs="Times New Roman"/>
                <w:color w:val="000000"/>
                <w:sz w:val="20"/>
                <w:szCs w:val="20"/>
              </w:rPr>
            </w:pPr>
          </w:p>
        </w:tc>
      </w:tr>
    </w:tbl>
    <w:p w:rsidR="00B12FAC" w:rsidRDefault="00B12FAC" w:rsidP="00667E9A">
      <w:pPr>
        <w:spacing w:after="0" w:line="240" w:lineRule="auto"/>
        <w:ind w:left="851"/>
        <w:jc w:val="both"/>
        <w:rPr>
          <w:rFonts w:ascii="Calibri" w:eastAsia="Times New Roman" w:hAnsi="Calibri" w:cs="Times New Roman"/>
          <w:b/>
          <w:bCs/>
          <w:color w:val="60497A"/>
        </w:rPr>
      </w:pPr>
    </w:p>
    <w:sectPr w:rsidR="00B12FAC" w:rsidSect="004B36C8">
      <w:footerReference w:type="default" r:id="rId10"/>
      <w:pgSz w:w="15840" w:h="12240"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0B4" w:rsidRDefault="003530B4" w:rsidP="00C14CDD">
      <w:pPr>
        <w:spacing w:after="0" w:line="240" w:lineRule="auto"/>
      </w:pPr>
      <w:r>
        <w:separator/>
      </w:r>
    </w:p>
  </w:endnote>
  <w:endnote w:type="continuationSeparator" w:id="0">
    <w:p w:rsidR="003530B4" w:rsidRDefault="003530B4" w:rsidP="00C1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423013"/>
      <w:docPartObj>
        <w:docPartGallery w:val="Page Numbers (Bottom of Page)"/>
        <w:docPartUnique/>
      </w:docPartObj>
    </w:sdtPr>
    <w:sdtEndPr/>
    <w:sdtContent>
      <w:p w:rsidR="00C14CDD" w:rsidRDefault="00C14CDD">
        <w:pPr>
          <w:pStyle w:val="Piedepgina"/>
          <w:jc w:val="right"/>
        </w:pPr>
        <w:r>
          <w:fldChar w:fldCharType="begin"/>
        </w:r>
        <w:r>
          <w:instrText>PAGE   \* MERGEFORMAT</w:instrText>
        </w:r>
        <w:r>
          <w:fldChar w:fldCharType="separate"/>
        </w:r>
        <w:r w:rsidR="00290F5E" w:rsidRPr="00290F5E">
          <w:rPr>
            <w:noProof/>
            <w:lang w:val="es-ES"/>
          </w:rPr>
          <w:t>1</w:t>
        </w:r>
        <w:r>
          <w:fldChar w:fldCharType="end"/>
        </w:r>
      </w:p>
    </w:sdtContent>
  </w:sdt>
  <w:p w:rsidR="00C14CDD" w:rsidRDefault="00C14C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0B4" w:rsidRDefault="003530B4" w:rsidP="00C14CDD">
      <w:pPr>
        <w:spacing w:after="0" w:line="240" w:lineRule="auto"/>
      </w:pPr>
      <w:r>
        <w:separator/>
      </w:r>
    </w:p>
  </w:footnote>
  <w:footnote w:type="continuationSeparator" w:id="0">
    <w:p w:rsidR="003530B4" w:rsidRDefault="003530B4" w:rsidP="00C14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71C"/>
    <w:multiLevelType w:val="hybridMultilevel"/>
    <w:tmpl w:val="D7987D7E"/>
    <w:lvl w:ilvl="0" w:tplc="7C04359A">
      <w:start w:val="2"/>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20C28"/>
    <w:multiLevelType w:val="hybridMultilevel"/>
    <w:tmpl w:val="17DA5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A5BAE"/>
    <w:multiLevelType w:val="hybridMultilevel"/>
    <w:tmpl w:val="41303510"/>
    <w:lvl w:ilvl="0" w:tplc="F75043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71DC9"/>
    <w:multiLevelType w:val="hybridMultilevel"/>
    <w:tmpl w:val="3D7C12D8"/>
    <w:lvl w:ilvl="0" w:tplc="106A389C">
      <w:start w:val="1"/>
      <w:numFmt w:val="lowerLetter"/>
      <w:lvlText w:val="%1)"/>
      <w:lvlJc w:val="left"/>
      <w:pPr>
        <w:ind w:left="573" w:hanging="360"/>
      </w:pPr>
      <w:rPr>
        <w:rFonts w:hint="default"/>
        <w:b w:val="0"/>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4" w15:restartNumberingAfterBreak="0">
    <w:nsid w:val="3B9C0C74"/>
    <w:multiLevelType w:val="hybridMultilevel"/>
    <w:tmpl w:val="E67C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FC37B8"/>
    <w:multiLevelType w:val="hybridMultilevel"/>
    <w:tmpl w:val="7D16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777A05"/>
    <w:multiLevelType w:val="hybridMultilevel"/>
    <w:tmpl w:val="C84482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886C33"/>
    <w:multiLevelType w:val="hybridMultilevel"/>
    <w:tmpl w:val="344A57F8"/>
    <w:lvl w:ilvl="0" w:tplc="5D76D8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E96019"/>
    <w:multiLevelType w:val="hybridMultilevel"/>
    <w:tmpl w:val="13E6C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5F6612"/>
    <w:multiLevelType w:val="hybridMultilevel"/>
    <w:tmpl w:val="093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119B4"/>
    <w:multiLevelType w:val="hybridMultilevel"/>
    <w:tmpl w:val="3048C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075918"/>
    <w:multiLevelType w:val="hybridMultilevel"/>
    <w:tmpl w:val="8098E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E858A1"/>
    <w:multiLevelType w:val="hybridMultilevel"/>
    <w:tmpl w:val="DF7A0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1"/>
  </w:num>
  <w:num w:numId="5">
    <w:abstractNumId w:val="12"/>
  </w:num>
  <w:num w:numId="6">
    <w:abstractNumId w:val="10"/>
  </w:num>
  <w:num w:numId="7">
    <w:abstractNumId w:val="9"/>
  </w:num>
  <w:num w:numId="8">
    <w:abstractNumId w:val="0"/>
  </w:num>
  <w:num w:numId="9">
    <w:abstractNumId w:val="8"/>
  </w:num>
  <w:num w:numId="10">
    <w:abstractNumId w:val="1"/>
  </w:num>
  <w:num w:numId="11">
    <w:abstractNumId w:val="2"/>
  </w:num>
  <w:num w:numId="12">
    <w:abstractNumId w:val="3"/>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D8"/>
    <w:rsid w:val="000060D6"/>
    <w:rsid w:val="00041749"/>
    <w:rsid w:val="00056175"/>
    <w:rsid w:val="000834A9"/>
    <w:rsid w:val="0008539B"/>
    <w:rsid w:val="00090508"/>
    <w:rsid w:val="000B04F1"/>
    <w:rsid w:val="000B328D"/>
    <w:rsid w:val="000B409D"/>
    <w:rsid w:val="000D390D"/>
    <w:rsid w:val="000D39AC"/>
    <w:rsid w:val="000F7796"/>
    <w:rsid w:val="00112C64"/>
    <w:rsid w:val="00115ECD"/>
    <w:rsid w:val="00164E99"/>
    <w:rsid w:val="001869B7"/>
    <w:rsid w:val="001C7363"/>
    <w:rsid w:val="001D4947"/>
    <w:rsid w:val="001E7189"/>
    <w:rsid w:val="001E7997"/>
    <w:rsid w:val="00206736"/>
    <w:rsid w:val="0021186B"/>
    <w:rsid w:val="00222986"/>
    <w:rsid w:val="002273F5"/>
    <w:rsid w:val="00246F5C"/>
    <w:rsid w:val="00262C53"/>
    <w:rsid w:val="00264138"/>
    <w:rsid w:val="0028212D"/>
    <w:rsid w:val="00286C01"/>
    <w:rsid w:val="00290F5E"/>
    <w:rsid w:val="002962D2"/>
    <w:rsid w:val="002D2629"/>
    <w:rsid w:val="002D46DC"/>
    <w:rsid w:val="002D5C9E"/>
    <w:rsid w:val="002F7888"/>
    <w:rsid w:val="00305729"/>
    <w:rsid w:val="003075F9"/>
    <w:rsid w:val="003153C7"/>
    <w:rsid w:val="003171E0"/>
    <w:rsid w:val="003315C6"/>
    <w:rsid w:val="0034264C"/>
    <w:rsid w:val="00353058"/>
    <w:rsid w:val="003530B4"/>
    <w:rsid w:val="003A24D3"/>
    <w:rsid w:val="003C4A1A"/>
    <w:rsid w:val="003D1A2A"/>
    <w:rsid w:val="003E5BB3"/>
    <w:rsid w:val="00402FB8"/>
    <w:rsid w:val="00415002"/>
    <w:rsid w:val="00433D42"/>
    <w:rsid w:val="004606E5"/>
    <w:rsid w:val="004629AE"/>
    <w:rsid w:val="00466B57"/>
    <w:rsid w:val="00495700"/>
    <w:rsid w:val="004B36C8"/>
    <w:rsid w:val="004B6085"/>
    <w:rsid w:val="00501429"/>
    <w:rsid w:val="00534D62"/>
    <w:rsid w:val="005515A0"/>
    <w:rsid w:val="00554264"/>
    <w:rsid w:val="00555254"/>
    <w:rsid w:val="005653D9"/>
    <w:rsid w:val="00566D98"/>
    <w:rsid w:val="00596FC4"/>
    <w:rsid w:val="005A0AB8"/>
    <w:rsid w:val="005A491D"/>
    <w:rsid w:val="005E3AFE"/>
    <w:rsid w:val="00605B46"/>
    <w:rsid w:val="00614EB8"/>
    <w:rsid w:val="006471A0"/>
    <w:rsid w:val="00667E9A"/>
    <w:rsid w:val="00686F88"/>
    <w:rsid w:val="006942C0"/>
    <w:rsid w:val="006A718A"/>
    <w:rsid w:val="006A75AB"/>
    <w:rsid w:val="006B2A78"/>
    <w:rsid w:val="006C78BB"/>
    <w:rsid w:val="006C7D33"/>
    <w:rsid w:val="006D28AA"/>
    <w:rsid w:val="006E43B3"/>
    <w:rsid w:val="007031F8"/>
    <w:rsid w:val="0071003C"/>
    <w:rsid w:val="00730B2B"/>
    <w:rsid w:val="00734655"/>
    <w:rsid w:val="0076661E"/>
    <w:rsid w:val="007927A9"/>
    <w:rsid w:val="00796842"/>
    <w:rsid w:val="007B54A6"/>
    <w:rsid w:val="007D0395"/>
    <w:rsid w:val="007F33D8"/>
    <w:rsid w:val="007F3840"/>
    <w:rsid w:val="008049E0"/>
    <w:rsid w:val="008070E6"/>
    <w:rsid w:val="00833C2C"/>
    <w:rsid w:val="00864C64"/>
    <w:rsid w:val="00864E59"/>
    <w:rsid w:val="0087029B"/>
    <w:rsid w:val="008D3747"/>
    <w:rsid w:val="008E47ED"/>
    <w:rsid w:val="008F49B2"/>
    <w:rsid w:val="009016E5"/>
    <w:rsid w:val="0091347C"/>
    <w:rsid w:val="00913825"/>
    <w:rsid w:val="00922E7F"/>
    <w:rsid w:val="00926FAD"/>
    <w:rsid w:val="00951EA4"/>
    <w:rsid w:val="00970527"/>
    <w:rsid w:val="00970893"/>
    <w:rsid w:val="00982F88"/>
    <w:rsid w:val="009901F6"/>
    <w:rsid w:val="009A025C"/>
    <w:rsid w:val="009A3AF4"/>
    <w:rsid w:val="009C25DB"/>
    <w:rsid w:val="009E405E"/>
    <w:rsid w:val="009F3650"/>
    <w:rsid w:val="00A00CD2"/>
    <w:rsid w:val="00A02588"/>
    <w:rsid w:val="00A276FF"/>
    <w:rsid w:val="00A34170"/>
    <w:rsid w:val="00A41D2D"/>
    <w:rsid w:val="00A52B2A"/>
    <w:rsid w:val="00A60CE1"/>
    <w:rsid w:val="00A63C3E"/>
    <w:rsid w:val="00A94C08"/>
    <w:rsid w:val="00AA3FF3"/>
    <w:rsid w:val="00AC7ABA"/>
    <w:rsid w:val="00AD413E"/>
    <w:rsid w:val="00AD574B"/>
    <w:rsid w:val="00AE1606"/>
    <w:rsid w:val="00B04194"/>
    <w:rsid w:val="00B04730"/>
    <w:rsid w:val="00B12FAC"/>
    <w:rsid w:val="00B2460F"/>
    <w:rsid w:val="00B323AB"/>
    <w:rsid w:val="00B351A2"/>
    <w:rsid w:val="00B366FD"/>
    <w:rsid w:val="00B371C7"/>
    <w:rsid w:val="00B43A8D"/>
    <w:rsid w:val="00B538F6"/>
    <w:rsid w:val="00B744CC"/>
    <w:rsid w:val="00B9463C"/>
    <w:rsid w:val="00BA248E"/>
    <w:rsid w:val="00BA26B3"/>
    <w:rsid w:val="00BA3CD1"/>
    <w:rsid w:val="00BC0E34"/>
    <w:rsid w:val="00BC1E7C"/>
    <w:rsid w:val="00BE1248"/>
    <w:rsid w:val="00C12526"/>
    <w:rsid w:val="00C14CDD"/>
    <w:rsid w:val="00C20AA0"/>
    <w:rsid w:val="00C2294A"/>
    <w:rsid w:val="00C360C0"/>
    <w:rsid w:val="00C41768"/>
    <w:rsid w:val="00C6302E"/>
    <w:rsid w:val="00C66099"/>
    <w:rsid w:val="00C73557"/>
    <w:rsid w:val="00C82A81"/>
    <w:rsid w:val="00CE1DD8"/>
    <w:rsid w:val="00CF4C3C"/>
    <w:rsid w:val="00D00D30"/>
    <w:rsid w:val="00D12DB0"/>
    <w:rsid w:val="00D16D35"/>
    <w:rsid w:val="00D30F03"/>
    <w:rsid w:val="00D515D1"/>
    <w:rsid w:val="00D51A34"/>
    <w:rsid w:val="00DA6791"/>
    <w:rsid w:val="00DB02C9"/>
    <w:rsid w:val="00DB189C"/>
    <w:rsid w:val="00DC1D12"/>
    <w:rsid w:val="00DC5F2D"/>
    <w:rsid w:val="00DC6732"/>
    <w:rsid w:val="00E04926"/>
    <w:rsid w:val="00E12955"/>
    <w:rsid w:val="00E22E14"/>
    <w:rsid w:val="00E332E7"/>
    <w:rsid w:val="00E9500A"/>
    <w:rsid w:val="00EA7F24"/>
    <w:rsid w:val="00EB46FE"/>
    <w:rsid w:val="00EB76C4"/>
    <w:rsid w:val="00EE0404"/>
    <w:rsid w:val="00EE16DF"/>
    <w:rsid w:val="00EE33B7"/>
    <w:rsid w:val="00EF44D8"/>
    <w:rsid w:val="00F307FE"/>
    <w:rsid w:val="00F50015"/>
    <w:rsid w:val="00F509A5"/>
    <w:rsid w:val="00F55EA1"/>
    <w:rsid w:val="00F759DC"/>
    <w:rsid w:val="00F97083"/>
    <w:rsid w:val="00FA0F93"/>
    <w:rsid w:val="00FA3A9E"/>
    <w:rsid w:val="00FE4A42"/>
    <w:rsid w:val="00FE5909"/>
    <w:rsid w:val="00FF3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B2BA"/>
  <w15:docId w15:val="{00D73E66-33DC-4450-B012-A5241DE1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 w:type="paragraph" w:styleId="Encabezado">
    <w:name w:val="header"/>
    <w:basedOn w:val="Normal"/>
    <w:link w:val="EncabezadoCar"/>
    <w:uiPriority w:val="99"/>
    <w:unhideWhenUsed/>
    <w:rsid w:val="00C14C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CDD"/>
  </w:style>
  <w:style w:type="paragraph" w:styleId="Piedepgina">
    <w:name w:val="footer"/>
    <w:basedOn w:val="Normal"/>
    <w:link w:val="PiedepginaCar"/>
    <w:uiPriority w:val="99"/>
    <w:unhideWhenUsed/>
    <w:rsid w:val="00C14C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9852">
      <w:bodyDiv w:val="1"/>
      <w:marLeft w:val="0"/>
      <w:marRight w:val="0"/>
      <w:marTop w:val="0"/>
      <w:marBottom w:val="0"/>
      <w:divBdr>
        <w:top w:val="none" w:sz="0" w:space="0" w:color="auto"/>
        <w:left w:val="none" w:sz="0" w:space="0" w:color="auto"/>
        <w:bottom w:val="none" w:sz="0" w:space="0" w:color="auto"/>
        <w:right w:val="none" w:sz="0" w:space="0" w:color="auto"/>
      </w:divBdr>
    </w:div>
    <w:div w:id="395587493">
      <w:bodyDiv w:val="1"/>
      <w:marLeft w:val="0"/>
      <w:marRight w:val="0"/>
      <w:marTop w:val="0"/>
      <w:marBottom w:val="0"/>
      <w:divBdr>
        <w:top w:val="none" w:sz="0" w:space="0" w:color="auto"/>
        <w:left w:val="none" w:sz="0" w:space="0" w:color="auto"/>
        <w:bottom w:val="none" w:sz="0" w:space="0" w:color="auto"/>
        <w:right w:val="none" w:sz="0" w:space="0" w:color="auto"/>
      </w:divBdr>
    </w:div>
    <w:div w:id="396633426">
      <w:bodyDiv w:val="1"/>
      <w:marLeft w:val="0"/>
      <w:marRight w:val="0"/>
      <w:marTop w:val="0"/>
      <w:marBottom w:val="0"/>
      <w:divBdr>
        <w:top w:val="none" w:sz="0" w:space="0" w:color="auto"/>
        <w:left w:val="none" w:sz="0" w:space="0" w:color="auto"/>
        <w:bottom w:val="none" w:sz="0" w:space="0" w:color="auto"/>
        <w:right w:val="none" w:sz="0" w:space="0" w:color="auto"/>
      </w:divBdr>
    </w:div>
    <w:div w:id="604339878">
      <w:bodyDiv w:val="1"/>
      <w:marLeft w:val="0"/>
      <w:marRight w:val="0"/>
      <w:marTop w:val="0"/>
      <w:marBottom w:val="0"/>
      <w:divBdr>
        <w:top w:val="none" w:sz="0" w:space="0" w:color="auto"/>
        <w:left w:val="none" w:sz="0" w:space="0" w:color="auto"/>
        <w:bottom w:val="none" w:sz="0" w:space="0" w:color="auto"/>
        <w:right w:val="none" w:sz="0" w:space="0" w:color="auto"/>
      </w:divBdr>
    </w:div>
    <w:div w:id="720057414">
      <w:bodyDiv w:val="1"/>
      <w:marLeft w:val="0"/>
      <w:marRight w:val="0"/>
      <w:marTop w:val="0"/>
      <w:marBottom w:val="0"/>
      <w:divBdr>
        <w:top w:val="none" w:sz="0" w:space="0" w:color="auto"/>
        <w:left w:val="none" w:sz="0" w:space="0" w:color="auto"/>
        <w:bottom w:val="none" w:sz="0" w:space="0" w:color="auto"/>
        <w:right w:val="none" w:sz="0" w:space="0" w:color="auto"/>
      </w:divBdr>
    </w:div>
    <w:div w:id="10982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0FD9-C539-49E9-9638-859F5125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Especialistas</dc:creator>
  <cp:lastModifiedBy>Adda Irais León Martínez</cp:lastModifiedBy>
  <cp:revision>2</cp:revision>
  <cp:lastPrinted>2016-07-19T18:56:00Z</cp:lastPrinted>
  <dcterms:created xsi:type="dcterms:W3CDTF">2017-11-10T21:03:00Z</dcterms:created>
  <dcterms:modified xsi:type="dcterms:W3CDTF">2017-11-10T21:03:00Z</dcterms:modified>
</cp:coreProperties>
</file>