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BA61" w14:textId="77777777" w:rsidR="00C340BF" w:rsidRPr="008E735C" w:rsidRDefault="00C340BF" w:rsidP="00C340BF">
      <w:pPr>
        <w:ind w:left="1134" w:right="1183"/>
        <w:jc w:val="center"/>
        <w:rPr>
          <w:rFonts w:ascii="Arial" w:hAnsi="Arial" w:cs="Arial"/>
          <w:b/>
          <w:sz w:val="20"/>
          <w:szCs w:val="20"/>
        </w:rPr>
      </w:pPr>
    </w:p>
    <w:p w14:paraId="37B0FEF8" w14:textId="77777777" w:rsidR="00C340BF" w:rsidRPr="00F26DD7" w:rsidRDefault="00C340BF" w:rsidP="00C340BF">
      <w:pPr>
        <w:ind w:left="1134" w:right="1183"/>
        <w:jc w:val="center"/>
        <w:rPr>
          <w:rFonts w:ascii="Azo Sans Md" w:hAnsi="Azo Sans Md" w:cs="Arial"/>
          <w:b/>
          <w:sz w:val="20"/>
          <w:szCs w:val="20"/>
        </w:rPr>
      </w:pPr>
      <w:r w:rsidRPr="00F26DD7">
        <w:rPr>
          <w:rFonts w:ascii="Azo Sans Md" w:hAnsi="Azo Sans Md" w:cs="Arial"/>
          <w:b/>
          <w:sz w:val="20"/>
          <w:szCs w:val="20"/>
        </w:rPr>
        <w:t>FORMATOS DE TABLAS DE APLICABILIDAD POR TIPO DE SUJETO OBLIGADO</w:t>
      </w:r>
    </w:p>
    <w:p w14:paraId="1C3240DE" w14:textId="77777777" w:rsidR="00C340BF" w:rsidRPr="00F26DD7" w:rsidRDefault="00C340BF" w:rsidP="00C340BF">
      <w:pPr>
        <w:spacing w:line="259" w:lineRule="auto"/>
        <w:ind w:left="26"/>
        <w:jc w:val="right"/>
        <w:rPr>
          <w:rFonts w:ascii="Azo Sans Md" w:hAnsi="Azo Sans Md" w:cs="Arial"/>
          <w:sz w:val="20"/>
          <w:szCs w:val="20"/>
        </w:rPr>
      </w:pPr>
    </w:p>
    <w:p w14:paraId="4EEF5725" w14:textId="77777777" w:rsidR="00C340BF" w:rsidRPr="00F26DD7" w:rsidRDefault="00C340BF" w:rsidP="00C340BF">
      <w:pPr>
        <w:spacing w:line="259" w:lineRule="auto"/>
        <w:ind w:left="26"/>
        <w:jc w:val="right"/>
        <w:rPr>
          <w:rFonts w:ascii="Azo Sans Md" w:hAnsi="Azo Sans Md" w:cs="Arial"/>
          <w:sz w:val="20"/>
          <w:szCs w:val="20"/>
        </w:rPr>
      </w:pPr>
    </w:p>
    <w:p w14:paraId="4EEEFFC1" w14:textId="77777777" w:rsidR="00C340BF" w:rsidRPr="00F26DD7" w:rsidRDefault="00C340BF" w:rsidP="00C340BF">
      <w:pPr>
        <w:spacing w:line="259" w:lineRule="auto"/>
        <w:ind w:left="26"/>
        <w:jc w:val="right"/>
        <w:rPr>
          <w:rFonts w:ascii="Azo Sans Md" w:hAnsi="Azo Sans Md" w:cs="Arial"/>
          <w:b/>
          <w:sz w:val="18"/>
          <w:szCs w:val="18"/>
        </w:rPr>
      </w:pPr>
      <w:r w:rsidRPr="00F26DD7">
        <w:rPr>
          <w:rFonts w:ascii="Azo Sans Md" w:hAnsi="Azo Sans Md" w:cs="Arial"/>
          <w:b/>
          <w:sz w:val="18"/>
          <w:szCs w:val="18"/>
        </w:rPr>
        <w:t>Formato I-PE</w:t>
      </w:r>
    </w:p>
    <w:p w14:paraId="41D67CBC" w14:textId="77777777" w:rsidR="00C340BF" w:rsidRPr="00F26DD7" w:rsidRDefault="00C340BF" w:rsidP="00C340BF">
      <w:pPr>
        <w:jc w:val="center"/>
        <w:rPr>
          <w:rFonts w:ascii="Azo Sans Md" w:hAnsi="Azo Sans Md" w:cs="Arial"/>
          <w:b/>
          <w:sz w:val="18"/>
          <w:szCs w:val="18"/>
        </w:rPr>
      </w:pPr>
    </w:p>
    <w:p w14:paraId="5C7C082B" w14:textId="77777777" w:rsidR="00C340BF" w:rsidRPr="00F26DD7" w:rsidRDefault="00C340BF" w:rsidP="00C340BF">
      <w:pPr>
        <w:rPr>
          <w:rFonts w:ascii="Azo Sans Md" w:hAnsi="Azo Sans Md" w:cs="Arial"/>
          <w:b/>
          <w:sz w:val="18"/>
          <w:szCs w:val="18"/>
        </w:rPr>
      </w:pPr>
      <w:r w:rsidRPr="00F26DD7">
        <w:rPr>
          <w:rFonts w:ascii="Azo Sans Md" w:hAnsi="Azo Sans Md" w:cs="Arial"/>
          <w:b/>
          <w:sz w:val="18"/>
          <w:szCs w:val="18"/>
        </w:rPr>
        <w:t>I. PODER EJECUTIVO DEL ESTADO</w:t>
      </w:r>
    </w:p>
    <w:p w14:paraId="1D524B97" w14:textId="77777777" w:rsidR="00C340BF" w:rsidRPr="00F26DD7" w:rsidRDefault="00C340BF" w:rsidP="00C340BF">
      <w:pPr>
        <w:jc w:val="center"/>
        <w:rPr>
          <w:rFonts w:ascii="Azo Sans Md" w:hAnsi="Azo Sans Md" w:cs="Arial"/>
          <w:b/>
          <w:sz w:val="18"/>
          <w:szCs w:val="18"/>
        </w:rPr>
      </w:pPr>
    </w:p>
    <w:p w14:paraId="792A9DE5" w14:textId="0CAF6524" w:rsidR="00C340BF" w:rsidRPr="00F26DD7" w:rsidRDefault="00C340BF" w:rsidP="00C340BF">
      <w:pPr>
        <w:jc w:val="center"/>
        <w:rPr>
          <w:rFonts w:ascii="Azo Sans Md" w:hAnsi="Azo Sans Md" w:cs="Arial"/>
          <w:b/>
          <w:sz w:val="18"/>
          <w:szCs w:val="18"/>
        </w:rPr>
      </w:pPr>
      <w:r w:rsidRPr="00F26DD7">
        <w:rPr>
          <w:rFonts w:ascii="Azo Sans Md" w:hAnsi="Azo Sans Md" w:cs="Arial"/>
          <w:b/>
          <w:sz w:val="18"/>
          <w:szCs w:val="18"/>
        </w:rPr>
        <w:t xml:space="preserve">Tabla de aplicabilidad de las obligaciones comunes y específicas de </w:t>
      </w:r>
      <w:r w:rsidR="00F26DD7" w:rsidRPr="00F26DD7">
        <w:rPr>
          <w:rFonts w:ascii="Azo Sans Md" w:hAnsi="Azo Sans Md" w:cs="Arial"/>
          <w:b/>
          <w:sz w:val="18"/>
          <w:szCs w:val="18"/>
        </w:rPr>
        <w:t>la Comisión de Conciliación y Arbitraje Médico del Estado de Campeche</w:t>
      </w:r>
      <w:r w:rsidRPr="00F26DD7">
        <w:rPr>
          <w:rFonts w:ascii="Azo Sans Md" w:hAnsi="Azo Sans Md" w:cs="Arial"/>
          <w:b/>
          <w:sz w:val="18"/>
          <w:szCs w:val="18"/>
        </w:rPr>
        <w:t xml:space="preserve"> correspondiente al año </w:t>
      </w:r>
      <w:r w:rsidR="00F26DD7" w:rsidRPr="00F26DD7">
        <w:rPr>
          <w:rFonts w:ascii="Azo Sans Md" w:hAnsi="Azo Sans Md" w:cs="Arial"/>
          <w:b/>
          <w:sz w:val="18"/>
          <w:szCs w:val="18"/>
        </w:rPr>
        <w:t>202</w:t>
      </w:r>
      <w:r w:rsidR="00EB34E7">
        <w:rPr>
          <w:rFonts w:ascii="Azo Sans Md" w:hAnsi="Azo Sans Md" w:cs="Arial"/>
          <w:b/>
          <w:sz w:val="18"/>
          <w:szCs w:val="18"/>
        </w:rPr>
        <w:t>1</w:t>
      </w:r>
      <w:r w:rsidR="00F26DD7" w:rsidRPr="00F26DD7">
        <w:rPr>
          <w:rFonts w:ascii="Azo Sans Md" w:hAnsi="Azo Sans Md" w:cs="Arial"/>
          <w:b/>
          <w:sz w:val="18"/>
          <w:szCs w:val="18"/>
        </w:rPr>
        <w:t>.</w:t>
      </w:r>
    </w:p>
    <w:p w14:paraId="72F84350" w14:textId="77777777" w:rsidR="00C340BF" w:rsidRPr="00F26DD7" w:rsidRDefault="00C340BF" w:rsidP="00C340BF">
      <w:pPr>
        <w:jc w:val="center"/>
        <w:rPr>
          <w:rFonts w:ascii="Azo Sans Md" w:hAnsi="Azo Sans Md" w:cs="Arial"/>
          <w:b/>
          <w:sz w:val="18"/>
          <w:szCs w:val="18"/>
        </w:rPr>
      </w:pPr>
    </w:p>
    <w:p w14:paraId="393B4E45" w14:textId="77777777" w:rsidR="00C340BF" w:rsidRPr="00F26DD7" w:rsidRDefault="00C340BF" w:rsidP="00C340BF">
      <w:pPr>
        <w:jc w:val="center"/>
        <w:rPr>
          <w:rFonts w:ascii="Azo Sans Md" w:hAnsi="Azo Sans Md" w:cs="Arial"/>
          <w:sz w:val="18"/>
          <w:szCs w:val="18"/>
        </w:rPr>
      </w:pPr>
      <w:r w:rsidRPr="00F26DD7">
        <w:rPr>
          <w:rFonts w:ascii="Azo Sans Md" w:hAnsi="Azo Sans Md" w:cs="Arial"/>
          <w:sz w:val="18"/>
          <w:szCs w:val="18"/>
        </w:rPr>
        <w:t>Artículos 74 y 75 de la Ley de Transparencia y Acceso a la Información Pública del Estado de Campeche (LTAIPEC) y 71, fracción I, inciso f de la Ley General de Transparencia y Acceso a la Información Pública (LGTAIP).</w:t>
      </w:r>
    </w:p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1419"/>
        <w:gridCol w:w="1270"/>
        <w:gridCol w:w="1842"/>
        <w:gridCol w:w="1418"/>
        <w:gridCol w:w="1134"/>
        <w:gridCol w:w="1276"/>
        <w:gridCol w:w="2415"/>
      </w:tblGrid>
      <w:tr w:rsidR="00C340BF" w:rsidRPr="00F26DD7" w14:paraId="66FDC94A" w14:textId="77777777" w:rsidTr="006E7B52">
        <w:trPr>
          <w:trHeight w:val="761"/>
          <w:jc w:val="center"/>
        </w:trPr>
        <w:tc>
          <w:tcPr>
            <w:tcW w:w="14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3690CC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  <w:p w14:paraId="4F5DB2E2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TIPO DE SUJETO OBLIGADO</w:t>
            </w:r>
          </w:p>
        </w:tc>
        <w:tc>
          <w:tcPr>
            <w:tcW w:w="45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8A45A99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OBLIGACIONES COMUNES </w:t>
            </w:r>
          </w:p>
          <w:p w14:paraId="343478E6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(artículo 74 de la Ley Estatal)</w:t>
            </w:r>
          </w:p>
        </w:tc>
        <w:tc>
          <w:tcPr>
            <w:tcW w:w="4825" w:type="dxa"/>
            <w:gridSpan w:val="3"/>
            <w:tcMar>
              <w:left w:w="28" w:type="dxa"/>
              <w:right w:w="28" w:type="dxa"/>
            </w:tcMar>
            <w:vAlign w:val="center"/>
          </w:tcPr>
          <w:p w14:paraId="5C0ED6CF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 xml:space="preserve">OBLIGACIONES ESPECÍFICAS </w:t>
            </w:r>
          </w:p>
          <w:p w14:paraId="4053B970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(artículos 75 de la Ley Estatal y 71 fracción I inciso f) de  la Ley General)</w:t>
            </w:r>
          </w:p>
        </w:tc>
      </w:tr>
      <w:tr w:rsidR="00C340BF" w:rsidRPr="00F26DD7" w14:paraId="2D772715" w14:textId="77777777" w:rsidTr="006E7B52">
        <w:trPr>
          <w:trHeight w:val="86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  <w:vAlign w:val="center"/>
          </w:tcPr>
          <w:p w14:paraId="3120004A" w14:textId="77777777" w:rsidR="00C340BF" w:rsidRPr="00F26DD7" w:rsidRDefault="00C340BF" w:rsidP="00774613">
            <w:pPr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14:paraId="33B7D9A5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APLICA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2F2562B6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NO APLICA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848BCCE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APLICA</w:t>
            </w:r>
          </w:p>
        </w:tc>
        <w:tc>
          <w:tcPr>
            <w:tcW w:w="3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297FF8C3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NO APLICA</w:t>
            </w:r>
          </w:p>
        </w:tc>
      </w:tr>
      <w:tr w:rsidR="00C340BF" w:rsidRPr="00F26DD7" w14:paraId="459F2957" w14:textId="77777777" w:rsidTr="006E7B52">
        <w:trPr>
          <w:trHeight w:val="86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  <w:vAlign w:val="center"/>
          </w:tcPr>
          <w:p w14:paraId="4F232D17" w14:textId="77777777" w:rsidR="00C340BF" w:rsidRPr="00F26DD7" w:rsidRDefault="00C340BF" w:rsidP="00774613">
            <w:pPr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14:paraId="1385AABE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9F3F745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61C70A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Razón general y fundamento legal de la no aplicabilidad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51DB496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FA58BFA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Fracción(es) y, en su caso, inciso(s)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7CF7B31C" w14:textId="77777777" w:rsidR="00C340BF" w:rsidRPr="00F26DD7" w:rsidRDefault="00C340BF" w:rsidP="00774613">
            <w:pPr>
              <w:jc w:val="center"/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b/>
                <w:sz w:val="16"/>
                <w:szCs w:val="18"/>
                <w:lang w:eastAsia="en-US"/>
              </w:rPr>
              <w:t>Razón general y fundamento legal de la no aplicabilidad</w:t>
            </w:r>
          </w:p>
        </w:tc>
      </w:tr>
      <w:tr w:rsidR="006E7B52" w:rsidRPr="00C67A46" w14:paraId="24D8E76D" w14:textId="77777777" w:rsidTr="006E7B52">
        <w:trPr>
          <w:trHeight w:val="1916"/>
          <w:jc w:val="center"/>
        </w:trPr>
        <w:tc>
          <w:tcPr>
            <w:tcW w:w="1419" w:type="dxa"/>
            <w:vMerge w:val="restart"/>
            <w:tcMar>
              <w:left w:w="28" w:type="dxa"/>
              <w:right w:w="28" w:type="dxa"/>
            </w:tcMar>
          </w:tcPr>
          <w:p w14:paraId="0601C54D" w14:textId="77777777" w:rsidR="006E7B52" w:rsidRPr="00F26DD7" w:rsidRDefault="006E7B52" w:rsidP="0077461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  <w:p w14:paraId="0CFAD485" w14:textId="77777777" w:rsidR="006E7B52" w:rsidRPr="00F26DD7" w:rsidRDefault="006E7B52" w:rsidP="0077461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  <w:p w14:paraId="0DB7B8FA" w14:textId="77777777" w:rsidR="006E7B52" w:rsidRPr="00F26DD7" w:rsidRDefault="006E7B52" w:rsidP="0077461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  <w:t>Poder Ejecutivo del Estado</w:t>
            </w:r>
          </w:p>
        </w:tc>
        <w:tc>
          <w:tcPr>
            <w:tcW w:w="1270" w:type="dxa"/>
            <w:vMerge w:val="restart"/>
            <w:tcMar>
              <w:left w:w="28" w:type="dxa"/>
              <w:right w:w="28" w:type="dxa"/>
            </w:tcMar>
          </w:tcPr>
          <w:p w14:paraId="5C400D4F" w14:textId="77777777" w:rsidR="006E7B52" w:rsidRPr="00F26DD7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</w:t>
            </w:r>
          </w:p>
          <w:p w14:paraId="204B7C46" w14:textId="77777777" w:rsidR="006E7B52" w:rsidRPr="00F26DD7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II</w:t>
            </w:r>
          </w:p>
          <w:p w14:paraId="0AEB447A" w14:textId="77777777" w:rsidR="006E7B52" w:rsidRPr="00F26DD7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III</w:t>
            </w:r>
          </w:p>
          <w:p w14:paraId="7EAEB4E3" w14:textId="77777777" w:rsidR="006E7B52" w:rsidRPr="00F26DD7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IV</w:t>
            </w:r>
          </w:p>
          <w:p w14:paraId="0F5E6DFE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 w:rsidRPr="00F26DD7"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</w:t>
            </w:r>
          </w:p>
          <w:p w14:paraId="34AE50C3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VII</w:t>
            </w:r>
          </w:p>
          <w:p w14:paraId="1E5D181E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VIII</w:t>
            </w:r>
          </w:p>
          <w:p w14:paraId="7472F11D" w14:textId="0E4F4C26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IX</w:t>
            </w:r>
          </w:p>
          <w:p w14:paraId="1329034E" w14:textId="27709557" w:rsidR="002E4963" w:rsidRDefault="002E4963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</w:t>
            </w:r>
          </w:p>
          <w:p w14:paraId="7898EAE8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</w:t>
            </w:r>
          </w:p>
          <w:p w14:paraId="1D78AC69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XIII</w:t>
            </w:r>
          </w:p>
          <w:p w14:paraId="397B01CD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XVII</w:t>
            </w:r>
          </w:p>
          <w:p w14:paraId="3F00DE27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n-US" w:eastAsia="en-US"/>
              </w:rPr>
              <w:t>XIX</w:t>
            </w:r>
          </w:p>
          <w:p w14:paraId="1F575F5A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</w:t>
            </w:r>
          </w:p>
          <w:p w14:paraId="75F1C9B9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 (A, B, C)</w:t>
            </w:r>
          </w:p>
          <w:p w14:paraId="57D4A9BA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XXII</w:t>
            </w:r>
          </w:p>
          <w:p w14:paraId="14803797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XXIV</w:t>
            </w:r>
          </w:p>
          <w:p w14:paraId="15E1485E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XXIX</w:t>
            </w:r>
          </w:p>
          <w:p w14:paraId="7EA1ED93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</w:t>
            </w:r>
          </w:p>
          <w:p w14:paraId="25241FC8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</w:t>
            </w:r>
          </w:p>
          <w:p w14:paraId="75E40D66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XXXIII</w:t>
            </w:r>
          </w:p>
          <w:p w14:paraId="48E308C7" w14:textId="77777777" w:rsidR="006E7B52" w:rsidRP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XXXIV</w:t>
            </w:r>
          </w:p>
          <w:p w14:paraId="48D4848C" w14:textId="77777777" w:rsidR="006E7B52" w:rsidRPr="00C67A46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C67A46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(A, B, C, D, E, F, G, H)</w:t>
            </w:r>
          </w:p>
          <w:p w14:paraId="1BEDC8ED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C67A46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 (A, B, C)</w:t>
            </w:r>
          </w:p>
          <w:p w14:paraId="0C41EC51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XXXVI</w:t>
            </w:r>
          </w:p>
          <w:p w14:paraId="58138616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XXXIX</w:t>
            </w:r>
          </w:p>
          <w:p w14:paraId="000BEFB5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 (A, B)</w:t>
            </w:r>
          </w:p>
          <w:p w14:paraId="64F7B3F1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XLV</w:t>
            </w:r>
          </w:p>
          <w:p w14:paraId="0DBEFF72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XLVI (A, B)</w:t>
            </w:r>
          </w:p>
          <w:p w14:paraId="735A5FD3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XLVIII (A, B, C)</w:t>
            </w:r>
          </w:p>
          <w:p w14:paraId="6D1B1052" w14:textId="77777777" w:rsidR="006E7B52" w:rsidRPr="00C67A46" w:rsidRDefault="006143B7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Último</w:t>
            </w:r>
            <w:r w:rsid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párrafo</w:t>
            </w:r>
          </w:p>
          <w:p w14:paraId="424DFE91" w14:textId="77777777" w:rsidR="006E7B52" w:rsidRPr="00C67A46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842" w:type="dxa"/>
            <w:vMerge w:val="restart"/>
            <w:tcMar>
              <w:left w:w="28" w:type="dxa"/>
              <w:right w:w="28" w:type="dxa"/>
            </w:tcMar>
          </w:tcPr>
          <w:p w14:paraId="452BE65A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V</w:t>
            </w:r>
          </w:p>
          <w:p w14:paraId="4030F731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XII</w:t>
            </w:r>
          </w:p>
          <w:p w14:paraId="3187ED3E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XIV</w:t>
            </w:r>
          </w:p>
          <w:p w14:paraId="46A52037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</w:t>
            </w:r>
          </w:p>
          <w:p w14:paraId="47D1BCC4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XVI</w:t>
            </w:r>
          </w:p>
          <w:p w14:paraId="54437C6D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XVIII</w:t>
            </w:r>
          </w:p>
          <w:p w14:paraId="3C09378A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XXIII</w:t>
            </w:r>
          </w:p>
          <w:p w14:paraId="48A49016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</w:t>
            </w:r>
          </w:p>
          <w:p w14:paraId="6C38657F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</w:t>
            </w:r>
          </w:p>
          <w:p w14:paraId="4A9A9A3E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XXVII</w:t>
            </w:r>
          </w:p>
          <w:p w14:paraId="281C25F3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XXVIII</w:t>
            </w:r>
          </w:p>
          <w:p w14:paraId="5AE8A48E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XXXII</w:t>
            </w:r>
          </w:p>
          <w:p w14:paraId="29FDCE27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XXXVII</w:t>
            </w:r>
          </w:p>
          <w:p w14:paraId="08DA7D98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XXXVIII</w:t>
            </w:r>
          </w:p>
          <w:p w14:paraId="4110F860" w14:textId="77777777" w:rsidR="006A1CA3" w:rsidRDefault="006A1CA3" w:rsidP="006A1CA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AC5A0F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</w:t>
            </w:r>
          </w:p>
          <w:p w14:paraId="431551A4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XLII</w:t>
            </w:r>
          </w:p>
          <w:p w14:paraId="23E9E775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XLIII</w:t>
            </w:r>
          </w:p>
          <w:p w14:paraId="5F61360A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XLIV</w:t>
            </w:r>
          </w:p>
          <w:p w14:paraId="2F6302DD" w14:textId="77777777" w:rsidR="006A1CA3" w:rsidRDefault="006A1CA3" w:rsidP="006A1CA3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AC5A0F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XLVII</w:t>
            </w:r>
          </w:p>
          <w:p w14:paraId="04719AFA" w14:textId="77777777" w:rsidR="006A1CA3" w:rsidRPr="00C67A46" w:rsidRDefault="006A1CA3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14:paraId="15530F43" w14:textId="77777777" w:rsidR="006E7B52" w:rsidRPr="006E7B52" w:rsidRDefault="006E7B52" w:rsidP="006E7B52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La no aplicabilidad de las fracciones atiende a que la CCAMECAM no genera dicha información por no estar especificados en sus facultades, competencias y funciones</w:t>
            </w:r>
          </w:p>
          <w:p w14:paraId="2E7D37C9" w14:textId="77777777" w:rsidR="006E7B52" w:rsidRDefault="006E7B52" w:rsidP="006E7B52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otorgadas por la Ley de la Comisión de Conciliación y Arbitraje Médico del Estado de Campeche, Reglamento Interno de la Comisión de Conciliación y Arbitraje Médico del Estado de Campeche y Reglamento para la Atención de Quejas Médicas Y Gestión Pericial.</w:t>
            </w:r>
          </w:p>
          <w:p w14:paraId="14D1E793" w14:textId="77777777" w:rsidR="006A1CA3" w:rsidRPr="00C67A46" w:rsidRDefault="006A1CA3" w:rsidP="006E7B52">
            <w:pPr>
              <w:jc w:val="both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ADA5CD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47BE9A8A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763B7DA4" w14:textId="77777777" w:rsidR="006E7B52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634FF0CA" w14:textId="77777777" w:rsidR="006E7B52" w:rsidRPr="00C67A46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 (A, 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D56B19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  <w:p w14:paraId="727A5F44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5BA5B4F4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7F1BDB37" w14:textId="77777777" w:rsidR="006E7B52" w:rsidRPr="00C67A46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 (C, D, E, F, G)</w:t>
            </w:r>
          </w:p>
        </w:tc>
        <w:tc>
          <w:tcPr>
            <w:tcW w:w="2415" w:type="dxa"/>
            <w:vMerge w:val="restart"/>
            <w:tcMar>
              <w:left w:w="28" w:type="dxa"/>
              <w:right w:w="28" w:type="dxa"/>
            </w:tcMar>
          </w:tcPr>
          <w:p w14:paraId="6AB5C05E" w14:textId="77777777" w:rsidR="006E7B52" w:rsidRPr="006E7B52" w:rsidRDefault="006E7B52" w:rsidP="006E7B52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La no aplicabilidad de las fracciones atiende a que la CCAMECAM no genera dicha información por no estar especificados en sus facultades, competencias y funciones</w:t>
            </w:r>
          </w:p>
          <w:p w14:paraId="59A1CBDC" w14:textId="77777777" w:rsidR="006E7B52" w:rsidRDefault="006E7B52" w:rsidP="006E7B52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otorgadas por la Ley de la Comisión de Conciliación y Arbitraje Médico del Estado de Campeche, Reglamento Interno de la Comisión de Conciliación y Arbitraje Médico del Estado de Campeche y Reglamento para la Atención de Quejas Médicas Y Gestión Pericial.</w:t>
            </w: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  <w:p w14:paraId="2F169E79" w14:textId="77777777" w:rsidR="006E7B52" w:rsidRPr="006E7B52" w:rsidRDefault="006E7B52" w:rsidP="006E7B52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En cuanto a la fracción f del artículo 71, además de lo antes mencionado, se debe destacar que solo aplica a </w:t>
            </w: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Secretaría de Desarrollo Agrario, Territorial y Urbano (SEDATU) y Secretaría de Medio Ambiente y</w:t>
            </w:r>
          </w:p>
          <w:p w14:paraId="11CA62D9" w14:textId="77777777" w:rsidR="006E7B52" w:rsidRPr="006E7B52" w:rsidRDefault="006E7B52" w:rsidP="006E7B52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Recursos Naturales (SEMARNAT) del Poder Ejecutivo Federal. Secretaría de Desarrollo Urbano y/o Secretaría</w:t>
            </w:r>
          </w:p>
          <w:p w14:paraId="1C3EDEF9" w14:textId="77777777" w:rsidR="006E7B52" w:rsidRPr="006E7B52" w:rsidRDefault="006E7B52" w:rsidP="006E7B52">
            <w:pPr>
              <w:autoSpaceDE w:val="0"/>
              <w:autoSpaceDN w:val="0"/>
              <w:adjustRightInd w:val="0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de Medio Ambiente u homólogas de acuerdo con la legislación correspondiente en del Poder Ejecutivo de las</w:t>
            </w:r>
          </w:p>
          <w:p w14:paraId="32FCBC84" w14:textId="77777777" w:rsidR="006E7B52" w:rsidRPr="00C67A46" w:rsidRDefault="006E7B52" w:rsidP="006E7B52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 w:rsidRPr="006E7B52"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Entidades Federativas y de la Ciudad de México.</w:t>
            </w: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 xml:space="preserve"> </w:t>
            </w:r>
          </w:p>
        </w:tc>
      </w:tr>
      <w:tr w:rsidR="006E7B52" w:rsidRPr="00C67A46" w14:paraId="14197697" w14:textId="77777777" w:rsidTr="006E7B52">
        <w:trPr>
          <w:trHeight w:val="4412"/>
          <w:jc w:val="center"/>
        </w:trPr>
        <w:tc>
          <w:tcPr>
            <w:tcW w:w="1419" w:type="dxa"/>
            <w:vMerge/>
            <w:tcMar>
              <w:left w:w="28" w:type="dxa"/>
              <w:right w:w="28" w:type="dxa"/>
            </w:tcMar>
          </w:tcPr>
          <w:p w14:paraId="30330169" w14:textId="77777777" w:rsidR="006E7B52" w:rsidRPr="00F26DD7" w:rsidRDefault="006E7B52" w:rsidP="00774613">
            <w:pPr>
              <w:tabs>
                <w:tab w:val="center" w:pos="4419"/>
                <w:tab w:val="right" w:pos="8838"/>
              </w:tabs>
              <w:jc w:val="center"/>
              <w:rPr>
                <w:rFonts w:ascii="Azo Sans Md" w:eastAsia="Calibri" w:hAnsi="Azo Sans Md" w:cs="Arial"/>
                <w:sz w:val="16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Mar>
              <w:left w:w="28" w:type="dxa"/>
              <w:right w:w="28" w:type="dxa"/>
            </w:tcMar>
          </w:tcPr>
          <w:p w14:paraId="2FC9F78E" w14:textId="77777777" w:rsidR="006E7B52" w:rsidRP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842" w:type="dxa"/>
            <w:vMerge/>
            <w:tcMar>
              <w:left w:w="28" w:type="dxa"/>
              <w:right w:w="28" w:type="dxa"/>
            </w:tcMar>
          </w:tcPr>
          <w:p w14:paraId="722AD754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14:paraId="70939C10" w14:textId="77777777" w:rsidR="006E7B52" w:rsidRPr="00C67A46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D6F70A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76D023C1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29F89D40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41B556B9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64CCD311" w14:textId="77777777" w:rsidR="006E7B52" w:rsidRPr="00C67A46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0CA278B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065BB659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076F2650" w14:textId="77777777" w:rsidR="006E7B52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  <w:p w14:paraId="4E1D8475" w14:textId="77777777" w:rsidR="006E7B52" w:rsidRPr="00C67A46" w:rsidRDefault="006E7B52" w:rsidP="003A73BE">
            <w:pPr>
              <w:jc w:val="center"/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  <w: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  <w:t>II (A, B)</w:t>
            </w:r>
          </w:p>
        </w:tc>
        <w:tc>
          <w:tcPr>
            <w:tcW w:w="2415" w:type="dxa"/>
            <w:vMerge/>
            <w:tcMar>
              <w:left w:w="28" w:type="dxa"/>
              <w:right w:w="28" w:type="dxa"/>
            </w:tcMar>
          </w:tcPr>
          <w:p w14:paraId="5D6F5B96" w14:textId="77777777" w:rsidR="006E7B52" w:rsidRPr="00C67A46" w:rsidRDefault="006E7B52" w:rsidP="00774613">
            <w:pPr>
              <w:rPr>
                <w:rFonts w:ascii="Azo Sans Md" w:eastAsia="Calibri" w:hAnsi="Azo Sans Md" w:cs="Arial"/>
                <w:sz w:val="16"/>
                <w:szCs w:val="18"/>
                <w:lang w:val="es-MX" w:eastAsia="en-US"/>
              </w:rPr>
            </w:pPr>
          </w:p>
        </w:tc>
      </w:tr>
    </w:tbl>
    <w:p w14:paraId="2FE74451" w14:textId="77777777" w:rsidR="00C340BF" w:rsidRPr="00F26DD7" w:rsidRDefault="00C340BF" w:rsidP="00C340BF">
      <w:pPr>
        <w:spacing w:line="259" w:lineRule="auto"/>
        <w:ind w:left="26"/>
        <w:jc w:val="both"/>
        <w:rPr>
          <w:rFonts w:ascii="Azo Sans Md" w:hAnsi="Azo Sans Md" w:cs="Arial"/>
          <w:sz w:val="16"/>
          <w:szCs w:val="16"/>
        </w:rPr>
      </w:pPr>
      <w:r w:rsidRPr="00F26DD7">
        <w:rPr>
          <w:rFonts w:ascii="Azo Sans Md" w:hAnsi="Azo Sans Md" w:cs="Arial"/>
          <w:b/>
          <w:sz w:val="16"/>
          <w:szCs w:val="16"/>
        </w:rPr>
        <w:t>NOTA 1:</w:t>
      </w:r>
      <w:r w:rsidRPr="00F26DD7">
        <w:rPr>
          <w:rFonts w:ascii="Azo Sans Md" w:hAnsi="Azo Sans Md" w:cs="Arial"/>
          <w:sz w:val="16"/>
          <w:szCs w:val="16"/>
        </w:rPr>
        <w:t xml:space="preserve"> Adicionalmente el sujeto obligado deberá señalar la aplicabilidad o inaplicabilidad del inciso f del artículo 71 de la Ley General de Transparencia y Acceso a la Información Pública.</w:t>
      </w:r>
    </w:p>
    <w:p w14:paraId="56349983" w14:textId="77777777" w:rsidR="004C58F9" w:rsidRPr="00F26DD7" w:rsidRDefault="004C58F9">
      <w:pPr>
        <w:rPr>
          <w:rFonts w:ascii="Azo Sans Md" w:hAnsi="Azo Sans Md"/>
        </w:rPr>
      </w:pPr>
    </w:p>
    <w:sectPr w:rsidR="004C58F9" w:rsidRPr="00F26D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M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F"/>
    <w:rsid w:val="002E4963"/>
    <w:rsid w:val="003A73BE"/>
    <w:rsid w:val="004C58F9"/>
    <w:rsid w:val="0050321B"/>
    <w:rsid w:val="006143B7"/>
    <w:rsid w:val="006A1CA3"/>
    <w:rsid w:val="006E7B52"/>
    <w:rsid w:val="007313DA"/>
    <w:rsid w:val="0081296A"/>
    <w:rsid w:val="009304FC"/>
    <w:rsid w:val="00AC5A0F"/>
    <w:rsid w:val="00B1023F"/>
    <w:rsid w:val="00B12BE4"/>
    <w:rsid w:val="00C340BF"/>
    <w:rsid w:val="00C67A46"/>
    <w:rsid w:val="00E44E49"/>
    <w:rsid w:val="00EB34E7"/>
    <w:rsid w:val="00F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CFEC"/>
  <w15:chartTrackingRefBased/>
  <w15:docId w15:val="{B1BEC7F8-1BD5-46F4-994B-A623CF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7B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B5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DCVSO_SERVER</dc:creator>
  <cp:keywords/>
  <dc:description/>
  <cp:lastModifiedBy>KARINA LUNA</cp:lastModifiedBy>
  <cp:revision>4</cp:revision>
  <cp:lastPrinted>2020-01-10T17:10:00Z</cp:lastPrinted>
  <dcterms:created xsi:type="dcterms:W3CDTF">2021-01-12T18:26:00Z</dcterms:created>
  <dcterms:modified xsi:type="dcterms:W3CDTF">2021-03-30T05:11:00Z</dcterms:modified>
</cp:coreProperties>
</file>